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57FA" w14:textId="1DE097A9" w:rsidR="008D4C22" w:rsidRPr="008A6661" w:rsidRDefault="00734340" w:rsidP="00EE6DC3">
      <w:pPr>
        <w:rPr>
          <w:b/>
          <w:color w:val="FF0000"/>
        </w:rPr>
      </w:pPr>
      <w:bookmarkStart w:id="0" w:name="_GoBack"/>
      <w:bookmarkEnd w:id="0"/>
      <w:r>
        <w:rPr>
          <w:b/>
          <w:color w:val="ED7D31" w:themeColor="accent2"/>
        </w:rPr>
        <w:t>Άτυπος</w:t>
      </w:r>
      <w:r w:rsidR="00507B1F" w:rsidRPr="00A91B7E">
        <w:rPr>
          <w:b/>
          <w:color w:val="ED7D31" w:themeColor="accent2"/>
        </w:rPr>
        <w:t xml:space="preserve"> σ</w:t>
      </w:r>
      <w:r w:rsidR="008D4C22" w:rsidRPr="00A91B7E">
        <w:rPr>
          <w:b/>
          <w:color w:val="ED7D31" w:themeColor="accent2"/>
        </w:rPr>
        <w:t>χολιασμός επί των νομοσχεδίων του ΣΥΡΙΖΑ</w:t>
      </w:r>
      <w:r w:rsidR="008A6661">
        <w:rPr>
          <w:b/>
          <w:color w:val="ED7D31" w:themeColor="accent2"/>
        </w:rPr>
        <w:t xml:space="preserve"> </w:t>
      </w:r>
    </w:p>
    <w:p w14:paraId="56B6861C" w14:textId="77777777" w:rsidR="008D4C22" w:rsidRDefault="008D4C22" w:rsidP="00EE6DC3">
      <w:pPr>
        <w:rPr>
          <w:b/>
        </w:rPr>
      </w:pPr>
    </w:p>
    <w:p w14:paraId="6D0BEFC3" w14:textId="66AD7E58" w:rsidR="006A62D4" w:rsidRPr="00A91B7E" w:rsidRDefault="006A62D4" w:rsidP="00EE6DC3">
      <w:pPr>
        <w:rPr>
          <w:b/>
          <w:color w:val="ED7D31" w:themeColor="accent2"/>
        </w:rPr>
      </w:pPr>
      <w:r w:rsidRPr="00A91B7E">
        <w:rPr>
          <w:b/>
          <w:color w:val="ED7D31" w:themeColor="accent2"/>
        </w:rPr>
        <w:t>1</w:t>
      </w:r>
      <w:r w:rsidRPr="00A91B7E">
        <w:rPr>
          <w:b/>
          <w:color w:val="ED7D31" w:themeColor="accent2"/>
          <w:vertAlign w:val="superscript"/>
        </w:rPr>
        <w:t>ο</w:t>
      </w:r>
      <w:r w:rsidRPr="00A91B7E">
        <w:rPr>
          <w:b/>
          <w:color w:val="ED7D31" w:themeColor="accent2"/>
        </w:rPr>
        <w:t xml:space="preserve"> Νομοσχέδιο: ΠΡΟΤΑΣΗ ΝΟΜΟΥ ΜΕΤΡΑ ΓΙΑ ΤΗΝ ΑΝΤΙΜΕΤΩΠΙΣΗ ΤΗΣ ΑΚΡΙΒΕΙΑΣ ΚΑΙ ΤΗΝ ΠΑΤΑΞΗ ΤΗΣ ΚΕΡΔΟΣΚΟΠΙΑΣ</w:t>
      </w:r>
    </w:p>
    <w:p w14:paraId="3B72686D" w14:textId="3B9A8FBE" w:rsidR="008D4C22" w:rsidRPr="00A80CB1" w:rsidRDefault="008D4C22" w:rsidP="00EE6DC3">
      <w:pPr>
        <w:rPr>
          <w:b/>
        </w:rPr>
      </w:pPr>
    </w:p>
    <w:p w14:paraId="32F9B017" w14:textId="6348AA78" w:rsidR="004550BC" w:rsidRPr="004550BC" w:rsidRDefault="004550BC" w:rsidP="004550BC">
      <w:pPr>
        <w:jc w:val="both"/>
        <w:rPr>
          <w:bCs/>
        </w:rPr>
      </w:pPr>
      <w:r>
        <w:rPr>
          <w:bCs/>
        </w:rPr>
        <w:t>Το νομοσχέδιο αποτελείται από 1</w:t>
      </w:r>
      <w:r w:rsidR="00265F6B">
        <w:rPr>
          <w:bCs/>
        </w:rPr>
        <w:t>2</w:t>
      </w:r>
      <w:r>
        <w:rPr>
          <w:bCs/>
        </w:rPr>
        <w:t xml:space="preserve"> άρθρα τα οποία περιλαμβάνουν</w:t>
      </w:r>
      <w:r w:rsidRPr="004550BC">
        <w:rPr>
          <w:bCs/>
        </w:rPr>
        <w:t>:</w:t>
      </w:r>
    </w:p>
    <w:p w14:paraId="3836C56F" w14:textId="711B779A" w:rsidR="00265F6B" w:rsidRDefault="00EF4376" w:rsidP="004550BC">
      <w:pPr>
        <w:pStyle w:val="ListParagraph"/>
        <w:numPr>
          <w:ilvl w:val="0"/>
          <w:numId w:val="24"/>
        </w:numPr>
        <w:jc w:val="both"/>
        <w:rPr>
          <w:bCs/>
        </w:rPr>
      </w:pPr>
      <w:r>
        <w:rPr>
          <w:bCs/>
        </w:rPr>
        <w:t>3</w:t>
      </w:r>
      <w:r w:rsidR="00343BB4">
        <w:rPr>
          <w:bCs/>
        </w:rPr>
        <w:t xml:space="preserve"> άρθρα </w:t>
      </w:r>
      <w:r>
        <w:rPr>
          <w:bCs/>
        </w:rPr>
        <w:t xml:space="preserve">με </w:t>
      </w:r>
      <w:r w:rsidR="00343BB4">
        <w:rPr>
          <w:bCs/>
        </w:rPr>
        <w:t>μειώσεις φόρων και παροχές</w:t>
      </w:r>
      <w:r w:rsidRPr="00EF4376">
        <w:rPr>
          <w:bCs/>
        </w:rPr>
        <w:t xml:space="preserve">: </w:t>
      </w:r>
      <w:r>
        <w:rPr>
          <w:bCs/>
        </w:rPr>
        <w:t xml:space="preserve">Το άρθρο 5, το άρθρο </w:t>
      </w:r>
      <w:r w:rsidR="00154DD8">
        <w:rPr>
          <w:bCs/>
        </w:rPr>
        <w:t>6</w:t>
      </w:r>
      <w:r>
        <w:rPr>
          <w:bCs/>
        </w:rPr>
        <w:t xml:space="preserve"> και το άρθρο 11.</w:t>
      </w:r>
    </w:p>
    <w:p w14:paraId="253BFB39" w14:textId="73DEEE4C" w:rsidR="006308D7" w:rsidRPr="006308D7" w:rsidRDefault="006308D7" w:rsidP="006308D7">
      <w:pPr>
        <w:pStyle w:val="ListParagraph"/>
        <w:numPr>
          <w:ilvl w:val="0"/>
          <w:numId w:val="24"/>
        </w:numPr>
        <w:rPr>
          <w:bCs/>
        </w:rPr>
      </w:pPr>
      <w:r w:rsidRPr="006308D7">
        <w:rPr>
          <w:bCs/>
        </w:rPr>
        <w:t xml:space="preserve">2 άρθρα για επιβολή έκτακτης </w:t>
      </w:r>
      <w:r w:rsidR="00F221B9">
        <w:rPr>
          <w:bCs/>
        </w:rPr>
        <w:t>εισφοράς</w:t>
      </w:r>
      <w:r w:rsidRPr="006308D7">
        <w:rPr>
          <w:bCs/>
        </w:rPr>
        <w:t>: Δεύτερη παράγραφος του άρθρου 2 και το άρθρο 3.</w:t>
      </w:r>
    </w:p>
    <w:p w14:paraId="3C708E2B" w14:textId="77777777" w:rsidR="006308D7" w:rsidRPr="006308D7" w:rsidRDefault="006308D7" w:rsidP="006308D7">
      <w:pPr>
        <w:pStyle w:val="ListParagraph"/>
        <w:numPr>
          <w:ilvl w:val="0"/>
          <w:numId w:val="24"/>
        </w:numPr>
        <w:rPr>
          <w:bCs/>
        </w:rPr>
      </w:pPr>
      <w:r w:rsidRPr="006308D7">
        <w:rPr>
          <w:bCs/>
        </w:rPr>
        <w:t>7 άρθρα για περιορισμό της κερδοσκοπίας και έλεγχο των τιμών: Το άρθρο 1, πρώτη παράγραφος του άρθρου 2, το άρθρο 3, το άρθρο 7, το άρθρο 8, το  άρθρο 9 και το άρθρο 10.</w:t>
      </w:r>
    </w:p>
    <w:p w14:paraId="6E68D6CF" w14:textId="43815D8C" w:rsidR="00EF4376" w:rsidRDefault="00EF4376" w:rsidP="00EF4376">
      <w:pPr>
        <w:jc w:val="both"/>
        <w:rPr>
          <w:bCs/>
        </w:rPr>
      </w:pPr>
    </w:p>
    <w:tbl>
      <w:tblPr>
        <w:tblW w:w="0" w:type="auto"/>
        <w:tblLook w:val="04A0" w:firstRow="1" w:lastRow="0" w:firstColumn="1" w:lastColumn="0" w:noHBand="0" w:noVBand="1"/>
      </w:tblPr>
      <w:tblGrid>
        <w:gridCol w:w="4525"/>
        <w:gridCol w:w="900"/>
        <w:gridCol w:w="1103"/>
        <w:gridCol w:w="879"/>
        <w:gridCol w:w="879"/>
      </w:tblGrid>
      <w:tr w:rsidR="00111684" w:rsidRPr="00111684" w14:paraId="7764B00F" w14:textId="77777777" w:rsidTr="00111684">
        <w:trPr>
          <w:trHeight w:val="300"/>
        </w:trPr>
        <w:tc>
          <w:tcPr>
            <w:tcW w:w="4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F36AD" w14:textId="77777777" w:rsidR="00111684" w:rsidRPr="00111684" w:rsidRDefault="00111684" w:rsidP="00111684">
            <w:pPr>
              <w:spacing w:after="0" w:line="240" w:lineRule="auto"/>
              <w:rPr>
                <w:rFonts w:ascii="Calibri" w:eastAsia="Times New Roman" w:hAnsi="Calibri" w:cs="Calibri"/>
                <w:b/>
                <w:bCs/>
                <w:color w:val="000000"/>
              </w:rPr>
            </w:pPr>
            <w:r w:rsidRPr="00111684">
              <w:rPr>
                <w:rFonts w:ascii="Calibri" w:eastAsia="Times New Roman" w:hAnsi="Calibri" w:cs="Calibri"/>
                <w:b/>
                <w:bCs/>
                <w:color w:val="000000"/>
              </w:rPr>
              <w:t>Σύνοψη κόστους βασικών μέτρων του νομοσχεδίου (δισ. ευρώ)</w:t>
            </w:r>
          </w:p>
        </w:tc>
        <w:tc>
          <w:tcPr>
            <w:tcW w:w="913" w:type="dxa"/>
            <w:tcBorders>
              <w:top w:val="single" w:sz="8" w:space="0" w:color="auto"/>
              <w:left w:val="nil"/>
              <w:bottom w:val="single" w:sz="8" w:space="0" w:color="auto"/>
              <w:right w:val="single" w:sz="8" w:space="0" w:color="auto"/>
            </w:tcBorders>
            <w:shd w:val="clear" w:color="auto" w:fill="auto"/>
            <w:noWrap/>
            <w:vAlign w:val="center"/>
            <w:hideMark/>
          </w:tcPr>
          <w:p w14:paraId="0D117C98" w14:textId="77777777" w:rsidR="00111684" w:rsidRPr="00111684" w:rsidRDefault="00111684" w:rsidP="00111684">
            <w:pPr>
              <w:spacing w:after="0" w:line="240" w:lineRule="auto"/>
              <w:rPr>
                <w:rFonts w:ascii="Calibri" w:eastAsia="Times New Roman" w:hAnsi="Calibri" w:cs="Calibri"/>
                <w:b/>
                <w:bCs/>
                <w:color w:val="000000"/>
                <w:lang w:val="en-US"/>
              </w:rPr>
            </w:pPr>
            <w:r w:rsidRPr="00111684">
              <w:rPr>
                <w:rFonts w:ascii="Calibri" w:eastAsia="Times New Roman" w:hAnsi="Calibri" w:cs="Calibri"/>
                <w:b/>
                <w:bCs/>
                <w:color w:val="000000"/>
                <w:lang w:val="en-US"/>
              </w:rPr>
              <w:t>1ο έτος</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72E587E4" w14:textId="77777777" w:rsidR="00111684" w:rsidRPr="00111684" w:rsidRDefault="00111684" w:rsidP="00111684">
            <w:pPr>
              <w:spacing w:after="0" w:line="240" w:lineRule="auto"/>
              <w:rPr>
                <w:rFonts w:ascii="Calibri" w:eastAsia="Times New Roman" w:hAnsi="Calibri" w:cs="Calibri"/>
                <w:b/>
                <w:bCs/>
                <w:color w:val="000000"/>
                <w:lang w:val="en-US"/>
              </w:rPr>
            </w:pPr>
            <w:r w:rsidRPr="00111684">
              <w:rPr>
                <w:rFonts w:ascii="Calibri" w:eastAsia="Times New Roman" w:hAnsi="Calibri" w:cs="Calibri"/>
                <w:b/>
                <w:bCs/>
                <w:color w:val="000000"/>
                <w:lang w:val="en-US"/>
              </w:rPr>
              <w:t>2ο έτος</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A9B2A44" w14:textId="77777777" w:rsidR="00111684" w:rsidRPr="00111684" w:rsidRDefault="00111684" w:rsidP="00111684">
            <w:pPr>
              <w:spacing w:after="0" w:line="240" w:lineRule="auto"/>
              <w:rPr>
                <w:rFonts w:ascii="Calibri" w:eastAsia="Times New Roman" w:hAnsi="Calibri" w:cs="Calibri"/>
                <w:b/>
                <w:bCs/>
                <w:color w:val="000000"/>
                <w:lang w:val="en-US"/>
              </w:rPr>
            </w:pPr>
            <w:r w:rsidRPr="00111684">
              <w:rPr>
                <w:rFonts w:ascii="Calibri" w:eastAsia="Times New Roman" w:hAnsi="Calibri" w:cs="Calibri"/>
                <w:b/>
                <w:bCs/>
                <w:color w:val="000000"/>
                <w:lang w:val="en-US"/>
              </w:rPr>
              <w:t>3ο έτος</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DB15708" w14:textId="77777777" w:rsidR="00111684" w:rsidRPr="00111684" w:rsidRDefault="00111684" w:rsidP="00111684">
            <w:pPr>
              <w:spacing w:after="0" w:line="240" w:lineRule="auto"/>
              <w:rPr>
                <w:rFonts w:ascii="Calibri" w:eastAsia="Times New Roman" w:hAnsi="Calibri" w:cs="Calibri"/>
                <w:b/>
                <w:bCs/>
                <w:color w:val="000000"/>
                <w:lang w:val="en-US"/>
              </w:rPr>
            </w:pPr>
            <w:r w:rsidRPr="00111684">
              <w:rPr>
                <w:rFonts w:ascii="Calibri" w:eastAsia="Times New Roman" w:hAnsi="Calibri" w:cs="Calibri"/>
                <w:b/>
                <w:bCs/>
                <w:color w:val="000000"/>
                <w:lang w:val="en-US"/>
              </w:rPr>
              <w:t>4ο έτος</w:t>
            </w:r>
          </w:p>
        </w:tc>
      </w:tr>
      <w:tr w:rsidR="00111684" w:rsidRPr="00111684" w14:paraId="5F1A129D"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6CC32DB3" w14:textId="77777777" w:rsidR="00111684" w:rsidRPr="00111684" w:rsidRDefault="00111684" w:rsidP="00111684">
            <w:pPr>
              <w:spacing w:after="0" w:line="240" w:lineRule="auto"/>
              <w:rPr>
                <w:rFonts w:ascii="Calibri" w:eastAsia="Times New Roman" w:hAnsi="Calibri" w:cs="Calibri"/>
                <w:color w:val="000000"/>
              </w:rPr>
            </w:pPr>
            <w:r w:rsidRPr="00111684">
              <w:rPr>
                <w:rFonts w:ascii="Calibri" w:eastAsia="Times New Roman" w:hAnsi="Calibri" w:cs="Calibri"/>
                <w:color w:val="000000"/>
              </w:rPr>
              <w:t>Μείωση ΕΦΚ σε βενζίνη και πετρέλαιο κίνησης (εξαιρείται το πετρέλαιο θέρμανσης)</w:t>
            </w:r>
          </w:p>
        </w:tc>
        <w:tc>
          <w:tcPr>
            <w:tcW w:w="913" w:type="dxa"/>
            <w:tcBorders>
              <w:top w:val="nil"/>
              <w:left w:val="nil"/>
              <w:bottom w:val="single" w:sz="8" w:space="0" w:color="auto"/>
              <w:right w:val="single" w:sz="8" w:space="0" w:color="auto"/>
            </w:tcBorders>
            <w:shd w:val="clear" w:color="auto" w:fill="auto"/>
            <w:noWrap/>
            <w:vAlign w:val="center"/>
            <w:hideMark/>
          </w:tcPr>
          <w:p w14:paraId="16BD2EC8"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-1,6</w:t>
            </w:r>
          </w:p>
        </w:tc>
        <w:tc>
          <w:tcPr>
            <w:tcW w:w="1119" w:type="dxa"/>
            <w:tcBorders>
              <w:top w:val="nil"/>
              <w:left w:val="nil"/>
              <w:bottom w:val="single" w:sz="8" w:space="0" w:color="auto"/>
              <w:right w:val="single" w:sz="8" w:space="0" w:color="auto"/>
            </w:tcBorders>
            <w:shd w:val="clear" w:color="auto" w:fill="auto"/>
            <w:noWrap/>
            <w:vAlign w:val="center"/>
            <w:hideMark/>
          </w:tcPr>
          <w:p w14:paraId="72B860C8"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-1,6</w:t>
            </w:r>
          </w:p>
        </w:tc>
        <w:tc>
          <w:tcPr>
            <w:tcW w:w="0" w:type="auto"/>
            <w:tcBorders>
              <w:top w:val="nil"/>
              <w:left w:val="nil"/>
              <w:bottom w:val="single" w:sz="8" w:space="0" w:color="auto"/>
              <w:right w:val="single" w:sz="8" w:space="0" w:color="auto"/>
            </w:tcBorders>
            <w:shd w:val="clear" w:color="auto" w:fill="auto"/>
            <w:noWrap/>
            <w:vAlign w:val="center"/>
            <w:hideMark/>
          </w:tcPr>
          <w:p w14:paraId="2665C65A"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-1,6</w:t>
            </w:r>
          </w:p>
        </w:tc>
        <w:tc>
          <w:tcPr>
            <w:tcW w:w="0" w:type="auto"/>
            <w:tcBorders>
              <w:top w:val="nil"/>
              <w:left w:val="nil"/>
              <w:bottom w:val="single" w:sz="8" w:space="0" w:color="auto"/>
              <w:right w:val="single" w:sz="8" w:space="0" w:color="auto"/>
            </w:tcBorders>
            <w:shd w:val="clear" w:color="auto" w:fill="auto"/>
            <w:noWrap/>
            <w:vAlign w:val="center"/>
            <w:hideMark/>
          </w:tcPr>
          <w:p w14:paraId="2977418A"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-1,6</w:t>
            </w:r>
          </w:p>
        </w:tc>
      </w:tr>
      <w:tr w:rsidR="00111684" w:rsidRPr="00111684" w14:paraId="09EC0EB9"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0648F5D1" w14:textId="77777777" w:rsidR="00111684" w:rsidRPr="00111684" w:rsidRDefault="00111684" w:rsidP="00111684">
            <w:pPr>
              <w:spacing w:after="0" w:line="240" w:lineRule="auto"/>
              <w:rPr>
                <w:rFonts w:ascii="Calibri" w:eastAsia="Times New Roman" w:hAnsi="Calibri" w:cs="Calibri"/>
                <w:color w:val="000000"/>
              </w:rPr>
            </w:pPr>
            <w:r w:rsidRPr="00111684">
              <w:rPr>
                <w:rFonts w:ascii="Calibri" w:eastAsia="Times New Roman" w:hAnsi="Calibri" w:cs="Calibri"/>
                <w:color w:val="000000"/>
              </w:rPr>
              <w:t>Μηδενισμός ΦΠΑ σε συγκεκριμένα προϊόντα διατροφής για ένα έτος (εξαιρούνται φρούτα και ψάρια)</w:t>
            </w:r>
          </w:p>
        </w:tc>
        <w:tc>
          <w:tcPr>
            <w:tcW w:w="913" w:type="dxa"/>
            <w:tcBorders>
              <w:top w:val="nil"/>
              <w:left w:val="nil"/>
              <w:bottom w:val="single" w:sz="8" w:space="0" w:color="auto"/>
              <w:right w:val="single" w:sz="8" w:space="0" w:color="auto"/>
            </w:tcBorders>
            <w:shd w:val="clear" w:color="auto" w:fill="auto"/>
            <w:noWrap/>
            <w:vAlign w:val="center"/>
            <w:hideMark/>
          </w:tcPr>
          <w:p w14:paraId="380B122B"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-1,8</w:t>
            </w:r>
          </w:p>
        </w:tc>
        <w:tc>
          <w:tcPr>
            <w:tcW w:w="1119" w:type="dxa"/>
            <w:tcBorders>
              <w:top w:val="nil"/>
              <w:left w:val="nil"/>
              <w:bottom w:val="single" w:sz="8" w:space="0" w:color="auto"/>
              <w:right w:val="single" w:sz="8" w:space="0" w:color="auto"/>
            </w:tcBorders>
            <w:shd w:val="clear" w:color="auto" w:fill="auto"/>
            <w:noWrap/>
            <w:vAlign w:val="center"/>
            <w:hideMark/>
          </w:tcPr>
          <w:p w14:paraId="1BC4BACA"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w:t>
            </w:r>
          </w:p>
        </w:tc>
        <w:tc>
          <w:tcPr>
            <w:tcW w:w="0" w:type="auto"/>
            <w:tcBorders>
              <w:top w:val="nil"/>
              <w:left w:val="nil"/>
              <w:bottom w:val="single" w:sz="8" w:space="0" w:color="auto"/>
              <w:right w:val="single" w:sz="8" w:space="0" w:color="auto"/>
            </w:tcBorders>
            <w:shd w:val="clear" w:color="auto" w:fill="auto"/>
            <w:noWrap/>
            <w:vAlign w:val="center"/>
            <w:hideMark/>
          </w:tcPr>
          <w:p w14:paraId="653E8F94"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w:t>
            </w:r>
          </w:p>
        </w:tc>
        <w:tc>
          <w:tcPr>
            <w:tcW w:w="0" w:type="auto"/>
            <w:tcBorders>
              <w:top w:val="nil"/>
              <w:left w:val="nil"/>
              <w:bottom w:val="single" w:sz="8" w:space="0" w:color="auto"/>
              <w:right w:val="single" w:sz="8" w:space="0" w:color="auto"/>
            </w:tcBorders>
            <w:shd w:val="clear" w:color="auto" w:fill="auto"/>
            <w:noWrap/>
            <w:vAlign w:val="center"/>
            <w:hideMark/>
          </w:tcPr>
          <w:p w14:paraId="2C170373"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w:t>
            </w:r>
          </w:p>
        </w:tc>
      </w:tr>
      <w:tr w:rsidR="00111684" w:rsidRPr="00111684" w14:paraId="3728AFF0"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3FFD8EAC" w14:textId="198F41BD" w:rsidR="00111684" w:rsidRPr="00111684" w:rsidRDefault="00111684" w:rsidP="00111684">
            <w:pPr>
              <w:spacing w:after="0" w:line="240" w:lineRule="auto"/>
              <w:rPr>
                <w:rFonts w:ascii="Calibri" w:eastAsia="Times New Roman" w:hAnsi="Calibri" w:cs="Calibri"/>
                <w:color w:val="000000"/>
              </w:rPr>
            </w:pPr>
            <w:r w:rsidRPr="00111684">
              <w:rPr>
                <w:rFonts w:ascii="Calibri" w:eastAsia="Times New Roman" w:hAnsi="Calibri" w:cs="Calibri"/>
                <w:color w:val="000000"/>
              </w:rPr>
              <w:t>Μόνιμη μείωση των συντελεστών ΦΠΑ στο 21%, 11% και 5%</w:t>
            </w:r>
          </w:p>
        </w:tc>
        <w:tc>
          <w:tcPr>
            <w:tcW w:w="913" w:type="dxa"/>
            <w:tcBorders>
              <w:top w:val="nil"/>
              <w:left w:val="nil"/>
              <w:bottom w:val="single" w:sz="8" w:space="0" w:color="auto"/>
              <w:right w:val="single" w:sz="8" w:space="0" w:color="auto"/>
            </w:tcBorders>
            <w:shd w:val="clear" w:color="auto" w:fill="auto"/>
            <w:noWrap/>
            <w:vAlign w:val="center"/>
            <w:hideMark/>
          </w:tcPr>
          <w:p w14:paraId="7D57308D"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-2,2</w:t>
            </w:r>
          </w:p>
        </w:tc>
        <w:tc>
          <w:tcPr>
            <w:tcW w:w="1119" w:type="dxa"/>
            <w:tcBorders>
              <w:top w:val="nil"/>
              <w:left w:val="nil"/>
              <w:bottom w:val="single" w:sz="8" w:space="0" w:color="auto"/>
              <w:right w:val="single" w:sz="8" w:space="0" w:color="auto"/>
            </w:tcBorders>
            <w:shd w:val="clear" w:color="auto" w:fill="auto"/>
            <w:noWrap/>
            <w:vAlign w:val="center"/>
            <w:hideMark/>
          </w:tcPr>
          <w:p w14:paraId="14EE89C9"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-2,4</w:t>
            </w:r>
          </w:p>
        </w:tc>
        <w:tc>
          <w:tcPr>
            <w:tcW w:w="0" w:type="auto"/>
            <w:tcBorders>
              <w:top w:val="nil"/>
              <w:left w:val="nil"/>
              <w:bottom w:val="single" w:sz="8" w:space="0" w:color="auto"/>
              <w:right w:val="single" w:sz="8" w:space="0" w:color="auto"/>
            </w:tcBorders>
            <w:shd w:val="clear" w:color="auto" w:fill="auto"/>
            <w:noWrap/>
            <w:vAlign w:val="center"/>
            <w:hideMark/>
          </w:tcPr>
          <w:p w14:paraId="1E28A18A"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-2,4</w:t>
            </w:r>
          </w:p>
        </w:tc>
        <w:tc>
          <w:tcPr>
            <w:tcW w:w="0" w:type="auto"/>
            <w:tcBorders>
              <w:top w:val="nil"/>
              <w:left w:val="nil"/>
              <w:bottom w:val="single" w:sz="8" w:space="0" w:color="auto"/>
              <w:right w:val="single" w:sz="8" w:space="0" w:color="auto"/>
            </w:tcBorders>
            <w:shd w:val="clear" w:color="auto" w:fill="auto"/>
            <w:noWrap/>
            <w:vAlign w:val="center"/>
            <w:hideMark/>
          </w:tcPr>
          <w:p w14:paraId="17C9E37B"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-2,4</w:t>
            </w:r>
          </w:p>
        </w:tc>
      </w:tr>
      <w:tr w:rsidR="00111684" w:rsidRPr="00111684" w14:paraId="722C7C5A"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2EF26441" w14:textId="77777777" w:rsidR="00111684" w:rsidRPr="00111684" w:rsidRDefault="00111684" w:rsidP="00111684">
            <w:pPr>
              <w:spacing w:after="0" w:line="240" w:lineRule="auto"/>
              <w:rPr>
                <w:rFonts w:ascii="Calibri" w:eastAsia="Times New Roman" w:hAnsi="Calibri" w:cs="Calibri"/>
                <w:color w:val="000000"/>
              </w:rPr>
            </w:pPr>
            <w:r w:rsidRPr="00111684">
              <w:rPr>
                <w:rFonts w:ascii="Calibri" w:eastAsia="Times New Roman" w:hAnsi="Calibri" w:cs="Calibri"/>
                <w:color w:val="000000"/>
              </w:rPr>
              <w:t>Μείωση ΦΠΑ σε ύδρευση και αποχέτευση</w:t>
            </w:r>
          </w:p>
        </w:tc>
        <w:tc>
          <w:tcPr>
            <w:tcW w:w="913" w:type="dxa"/>
            <w:tcBorders>
              <w:top w:val="nil"/>
              <w:left w:val="nil"/>
              <w:bottom w:val="single" w:sz="8" w:space="0" w:color="auto"/>
              <w:right w:val="single" w:sz="8" w:space="0" w:color="auto"/>
            </w:tcBorders>
            <w:shd w:val="clear" w:color="auto" w:fill="auto"/>
            <w:noWrap/>
            <w:vAlign w:val="center"/>
            <w:hideMark/>
          </w:tcPr>
          <w:p w14:paraId="23FCD1D4"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-0,07</w:t>
            </w:r>
          </w:p>
        </w:tc>
        <w:tc>
          <w:tcPr>
            <w:tcW w:w="1119" w:type="dxa"/>
            <w:tcBorders>
              <w:top w:val="nil"/>
              <w:left w:val="nil"/>
              <w:bottom w:val="single" w:sz="8" w:space="0" w:color="auto"/>
              <w:right w:val="single" w:sz="8" w:space="0" w:color="auto"/>
            </w:tcBorders>
            <w:shd w:val="clear" w:color="auto" w:fill="auto"/>
            <w:noWrap/>
            <w:vAlign w:val="center"/>
            <w:hideMark/>
          </w:tcPr>
          <w:p w14:paraId="350A7F0B"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-0,07</w:t>
            </w:r>
          </w:p>
        </w:tc>
        <w:tc>
          <w:tcPr>
            <w:tcW w:w="0" w:type="auto"/>
            <w:tcBorders>
              <w:top w:val="nil"/>
              <w:left w:val="nil"/>
              <w:bottom w:val="single" w:sz="8" w:space="0" w:color="auto"/>
              <w:right w:val="single" w:sz="8" w:space="0" w:color="auto"/>
            </w:tcBorders>
            <w:shd w:val="clear" w:color="auto" w:fill="auto"/>
            <w:noWrap/>
            <w:vAlign w:val="center"/>
            <w:hideMark/>
          </w:tcPr>
          <w:p w14:paraId="6EB89858"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-0,07</w:t>
            </w:r>
          </w:p>
        </w:tc>
        <w:tc>
          <w:tcPr>
            <w:tcW w:w="0" w:type="auto"/>
            <w:tcBorders>
              <w:top w:val="nil"/>
              <w:left w:val="nil"/>
              <w:bottom w:val="single" w:sz="8" w:space="0" w:color="auto"/>
              <w:right w:val="single" w:sz="8" w:space="0" w:color="auto"/>
            </w:tcBorders>
            <w:shd w:val="clear" w:color="auto" w:fill="auto"/>
            <w:noWrap/>
            <w:vAlign w:val="center"/>
            <w:hideMark/>
          </w:tcPr>
          <w:p w14:paraId="3AB94F85"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-0,07</w:t>
            </w:r>
          </w:p>
        </w:tc>
      </w:tr>
      <w:tr w:rsidR="00111684" w:rsidRPr="00111684" w14:paraId="1091405D"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2FAB7D23" w14:textId="77777777" w:rsidR="00111684" w:rsidRPr="00111684" w:rsidRDefault="00111684" w:rsidP="00111684">
            <w:pPr>
              <w:spacing w:after="0" w:line="240" w:lineRule="auto"/>
              <w:rPr>
                <w:rFonts w:ascii="Calibri" w:eastAsia="Times New Roman" w:hAnsi="Calibri" w:cs="Calibri"/>
                <w:color w:val="000000"/>
                <w:lang w:val="en-US"/>
              </w:rPr>
            </w:pPr>
            <w:r w:rsidRPr="00111684">
              <w:rPr>
                <w:rFonts w:ascii="Calibri" w:eastAsia="Times New Roman" w:hAnsi="Calibri" w:cs="Calibri"/>
                <w:color w:val="000000"/>
                <w:lang w:val="en-US"/>
              </w:rPr>
              <w:t>Χορήγηση Ειδικής Κάρτας "Αγροκίνηση"</w:t>
            </w:r>
          </w:p>
        </w:tc>
        <w:tc>
          <w:tcPr>
            <w:tcW w:w="913" w:type="dxa"/>
            <w:tcBorders>
              <w:top w:val="nil"/>
              <w:left w:val="nil"/>
              <w:bottom w:val="single" w:sz="8" w:space="0" w:color="auto"/>
              <w:right w:val="single" w:sz="8" w:space="0" w:color="auto"/>
            </w:tcBorders>
            <w:shd w:val="clear" w:color="auto" w:fill="auto"/>
            <w:noWrap/>
            <w:vAlign w:val="center"/>
            <w:hideMark/>
          </w:tcPr>
          <w:p w14:paraId="60EC65AE"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-0,16</w:t>
            </w:r>
          </w:p>
        </w:tc>
        <w:tc>
          <w:tcPr>
            <w:tcW w:w="1119" w:type="dxa"/>
            <w:tcBorders>
              <w:top w:val="nil"/>
              <w:left w:val="nil"/>
              <w:bottom w:val="single" w:sz="8" w:space="0" w:color="auto"/>
              <w:right w:val="single" w:sz="8" w:space="0" w:color="auto"/>
            </w:tcBorders>
            <w:shd w:val="clear" w:color="auto" w:fill="auto"/>
            <w:noWrap/>
            <w:vAlign w:val="center"/>
            <w:hideMark/>
          </w:tcPr>
          <w:p w14:paraId="6805A65D"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-0,16</w:t>
            </w:r>
          </w:p>
        </w:tc>
        <w:tc>
          <w:tcPr>
            <w:tcW w:w="0" w:type="auto"/>
            <w:tcBorders>
              <w:top w:val="nil"/>
              <w:left w:val="nil"/>
              <w:bottom w:val="single" w:sz="8" w:space="0" w:color="auto"/>
              <w:right w:val="single" w:sz="8" w:space="0" w:color="auto"/>
            </w:tcBorders>
            <w:shd w:val="clear" w:color="auto" w:fill="auto"/>
            <w:noWrap/>
            <w:vAlign w:val="center"/>
            <w:hideMark/>
          </w:tcPr>
          <w:p w14:paraId="3BCC3C0A"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-0,16</w:t>
            </w:r>
          </w:p>
        </w:tc>
        <w:tc>
          <w:tcPr>
            <w:tcW w:w="0" w:type="auto"/>
            <w:tcBorders>
              <w:top w:val="nil"/>
              <w:left w:val="nil"/>
              <w:bottom w:val="single" w:sz="8" w:space="0" w:color="auto"/>
              <w:right w:val="single" w:sz="8" w:space="0" w:color="auto"/>
            </w:tcBorders>
            <w:shd w:val="clear" w:color="auto" w:fill="auto"/>
            <w:noWrap/>
            <w:vAlign w:val="center"/>
            <w:hideMark/>
          </w:tcPr>
          <w:p w14:paraId="252827F2"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-0,16</w:t>
            </w:r>
          </w:p>
        </w:tc>
      </w:tr>
      <w:tr w:rsidR="00111684" w:rsidRPr="00111684" w14:paraId="1450E1CC"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2F5EF445" w14:textId="77777777" w:rsidR="00111684" w:rsidRPr="00111684" w:rsidRDefault="00111684" w:rsidP="00111684">
            <w:pPr>
              <w:spacing w:after="0" w:line="240" w:lineRule="auto"/>
              <w:rPr>
                <w:rFonts w:ascii="Calibri" w:eastAsia="Times New Roman" w:hAnsi="Calibri" w:cs="Calibri"/>
                <w:color w:val="000000"/>
              </w:rPr>
            </w:pPr>
            <w:r w:rsidRPr="00111684">
              <w:rPr>
                <w:rFonts w:ascii="Calibri" w:eastAsia="Times New Roman" w:hAnsi="Calibri" w:cs="Calibri"/>
                <w:color w:val="000000"/>
              </w:rPr>
              <w:t>Μείωση κόστους καρτών μέσων μαζικής μεταφοράς</w:t>
            </w:r>
          </w:p>
        </w:tc>
        <w:tc>
          <w:tcPr>
            <w:tcW w:w="913" w:type="dxa"/>
            <w:tcBorders>
              <w:top w:val="nil"/>
              <w:left w:val="nil"/>
              <w:bottom w:val="single" w:sz="8" w:space="0" w:color="auto"/>
              <w:right w:val="single" w:sz="8" w:space="0" w:color="auto"/>
            </w:tcBorders>
            <w:shd w:val="clear" w:color="auto" w:fill="auto"/>
            <w:noWrap/>
            <w:vAlign w:val="center"/>
            <w:hideMark/>
          </w:tcPr>
          <w:p w14:paraId="68CDD5A7"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-0,05</w:t>
            </w:r>
          </w:p>
        </w:tc>
        <w:tc>
          <w:tcPr>
            <w:tcW w:w="1119" w:type="dxa"/>
            <w:tcBorders>
              <w:top w:val="nil"/>
              <w:left w:val="nil"/>
              <w:bottom w:val="single" w:sz="8" w:space="0" w:color="auto"/>
              <w:right w:val="single" w:sz="8" w:space="0" w:color="auto"/>
            </w:tcBorders>
            <w:shd w:val="clear" w:color="auto" w:fill="auto"/>
            <w:noWrap/>
            <w:vAlign w:val="center"/>
            <w:hideMark/>
          </w:tcPr>
          <w:p w14:paraId="3B8A58A9"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-0,05</w:t>
            </w:r>
          </w:p>
        </w:tc>
        <w:tc>
          <w:tcPr>
            <w:tcW w:w="0" w:type="auto"/>
            <w:tcBorders>
              <w:top w:val="nil"/>
              <w:left w:val="nil"/>
              <w:bottom w:val="single" w:sz="8" w:space="0" w:color="auto"/>
              <w:right w:val="single" w:sz="8" w:space="0" w:color="auto"/>
            </w:tcBorders>
            <w:shd w:val="clear" w:color="auto" w:fill="auto"/>
            <w:noWrap/>
            <w:vAlign w:val="center"/>
            <w:hideMark/>
          </w:tcPr>
          <w:p w14:paraId="457821F0"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-0,05</w:t>
            </w:r>
          </w:p>
        </w:tc>
        <w:tc>
          <w:tcPr>
            <w:tcW w:w="0" w:type="auto"/>
            <w:tcBorders>
              <w:top w:val="nil"/>
              <w:left w:val="nil"/>
              <w:bottom w:val="single" w:sz="8" w:space="0" w:color="auto"/>
              <w:right w:val="single" w:sz="8" w:space="0" w:color="auto"/>
            </w:tcBorders>
            <w:shd w:val="clear" w:color="auto" w:fill="auto"/>
            <w:noWrap/>
            <w:vAlign w:val="center"/>
            <w:hideMark/>
          </w:tcPr>
          <w:p w14:paraId="2CBAC629" w14:textId="77777777" w:rsidR="00111684" w:rsidRPr="00111684" w:rsidRDefault="00111684" w:rsidP="00111684">
            <w:pPr>
              <w:spacing w:after="0" w:line="240" w:lineRule="auto"/>
              <w:jc w:val="right"/>
              <w:rPr>
                <w:rFonts w:ascii="Calibri" w:eastAsia="Times New Roman" w:hAnsi="Calibri" w:cs="Calibri"/>
                <w:color w:val="000000"/>
                <w:lang w:val="en-US"/>
              </w:rPr>
            </w:pPr>
            <w:r w:rsidRPr="00111684">
              <w:rPr>
                <w:rFonts w:ascii="Calibri" w:eastAsia="Times New Roman" w:hAnsi="Calibri" w:cs="Calibri"/>
                <w:color w:val="000000"/>
                <w:lang w:val="en-US"/>
              </w:rPr>
              <w:t>-0,05</w:t>
            </w:r>
          </w:p>
        </w:tc>
      </w:tr>
      <w:tr w:rsidR="00111684" w:rsidRPr="00111684" w14:paraId="757C2126" w14:textId="77777777" w:rsidTr="00111684">
        <w:trPr>
          <w:trHeight w:val="300"/>
        </w:trPr>
        <w:tc>
          <w:tcPr>
            <w:tcW w:w="4606" w:type="dxa"/>
            <w:tcBorders>
              <w:top w:val="nil"/>
              <w:left w:val="single" w:sz="8" w:space="0" w:color="auto"/>
              <w:bottom w:val="single" w:sz="8" w:space="0" w:color="auto"/>
              <w:right w:val="single" w:sz="8" w:space="0" w:color="auto"/>
            </w:tcBorders>
            <w:shd w:val="clear" w:color="auto" w:fill="auto"/>
            <w:noWrap/>
            <w:vAlign w:val="center"/>
            <w:hideMark/>
          </w:tcPr>
          <w:p w14:paraId="7DF30CD9" w14:textId="77777777" w:rsidR="00111684" w:rsidRPr="00111684" w:rsidRDefault="00111684" w:rsidP="00111684">
            <w:pPr>
              <w:spacing w:after="0" w:line="240" w:lineRule="auto"/>
              <w:rPr>
                <w:rFonts w:ascii="Calibri" w:eastAsia="Times New Roman" w:hAnsi="Calibri" w:cs="Calibri"/>
                <w:b/>
                <w:bCs/>
                <w:color w:val="000000"/>
                <w:lang w:val="en-US"/>
              </w:rPr>
            </w:pPr>
            <w:r w:rsidRPr="00111684">
              <w:rPr>
                <w:rFonts w:ascii="Calibri" w:eastAsia="Times New Roman" w:hAnsi="Calibri" w:cs="Calibri"/>
                <w:b/>
                <w:bCs/>
                <w:color w:val="000000"/>
                <w:lang w:val="en-US"/>
              </w:rPr>
              <w:t>Σύνολο</w:t>
            </w:r>
          </w:p>
        </w:tc>
        <w:tc>
          <w:tcPr>
            <w:tcW w:w="913" w:type="dxa"/>
            <w:tcBorders>
              <w:top w:val="nil"/>
              <w:left w:val="nil"/>
              <w:bottom w:val="single" w:sz="8" w:space="0" w:color="auto"/>
              <w:right w:val="single" w:sz="8" w:space="0" w:color="auto"/>
            </w:tcBorders>
            <w:shd w:val="clear" w:color="auto" w:fill="auto"/>
            <w:noWrap/>
            <w:vAlign w:val="center"/>
            <w:hideMark/>
          </w:tcPr>
          <w:p w14:paraId="7040D472" w14:textId="77777777" w:rsidR="00111684" w:rsidRPr="00111684" w:rsidRDefault="00111684" w:rsidP="00111684">
            <w:pPr>
              <w:spacing w:after="0" w:line="240" w:lineRule="auto"/>
              <w:jc w:val="right"/>
              <w:rPr>
                <w:rFonts w:ascii="Calibri" w:eastAsia="Times New Roman" w:hAnsi="Calibri" w:cs="Calibri"/>
                <w:b/>
                <w:bCs/>
                <w:color w:val="000000"/>
                <w:lang w:val="en-US"/>
              </w:rPr>
            </w:pPr>
            <w:r w:rsidRPr="00111684">
              <w:rPr>
                <w:rFonts w:ascii="Calibri" w:eastAsia="Times New Roman" w:hAnsi="Calibri" w:cs="Calibri"/>
                <w:b/>
                <w:bCs/>
                <w:color w:val="000000"/>
                <w:lang w:val="en-US"/>
              </w:rPr>
              <w:t>-5,8</w:t>
            </w:r>
          </w:p>
        </w:tc>
        <w:tc>
          <w:tcPr>
            <w:tcW w:w="1119" w:type="dxa"/>
            <w:tcBorders>
              <w:top w:val="nil"/>
              <w:left w:val="nil"/>
              <w:bottom w:val="single" w:sz="8" w:space="0" w:color="auto"/>
              <w:right w:val="single" w:sz="8" w:space="0" w:color="auto"/>
            </w:tcBorders>
            <w:shd w:val="clear" w:color="auto" w:fill="auto"/>
            <w:noWrap/>
            <w:vAlign w:val="center"/>
            <w:hideMark/>
          </w:tcPr>
          <w:p w14:paraId="0222FDBF" w14:textId="77777777" w:rsidR="00111684" w:rsidRPr="00111684" w:rsidRDefault="00111684" w:rsidP="00111684">
            <w:pPr>
              <w:spacing w:after="0" w:line="240" w:lineRule="auto"/>
              <w:jc w:val="right"/>
              <w:rPr>
                <w:rFonts w:ascii="Calibri" w:eastAsia="Times New Roman" w:hAnsi="Calibri" w:cs="Calibri"/>
                <w:b/>
                <w:bCs/>
                <w:color w:val="000000"/>
                <w:lang w:val="en-US"/>
              </w:rPr>
            </w:pPr>
            <w:r w:rsidRPr="00111684">
              <w:rPr>
                <w:rFonts w:ascii="Calibri" w:eastAsia="Times New Roman" w:hAnsi="Calibri" w:cs="Calibri"/>
                <w:b/>
                <w:bCs/>
                <w:color w:val="000000"/>
                <w:lang w:val="en-US"/>
              </w:rPr>
              <w:t>-4,3</w:t>
            </w:r>
          </w:p>
        </w:tc>
        <w:tc>
          <w:tcPr>
            <w:tcW w:w="0" w:type="auto"/>
            <w:tcBorders>
              <w:top w:val="nil"/>
              <w:left w:val="nil"/>
              <w:bottom w:val="single" w:sz="8" w:space="0" w:color="auto"/>
              <w:right w:val="single" w:sz="8" w:space="0" w:color="auto"/>
            </w:tcBorders>
            <w:shd w:val="clear" w:color="auto" w:fill="auto"/>
            <w:noWrap/>
            <w:vAlign w:val="center"/>
            <w:hideMark/>
          </w:tcPr>
          <w:p w14:paraId="136D4442" w14:textId="77777777" w:rsidR="00111684" w:rsidRPr="00111684" w:rsidRDefault="00111684" w:rsidP="00111684">
            <w:pPr>
              <w:spacing w:after="0" w:line="240" w:lineRule="auto"/>
              <w:jc w:val="right"/>
              <w:rPr>
                <w:rFonts w:ascii="Calibri" w:eastAsia="Times New Roman" w:hAnsi="Calibri" w:cs="Calibri"/>
                <w:b/>
                <w:bCs/>
                <w:color w:val="000000"/>
                <w:lang w:val="en-US"/>
              </w:rPr>
            </w:pPr>
            <w:r w:rsidRPr="00111684">
              <w:rPr>
                <w:rFonts w:ascii="Calibri" w:eastAsia="Times New Roman" w:hAnsi="Calibri" w:cs="Calibri"/>
                <w:b/>
                <w:bCs/>
                <w:color w:val="000000"/>
                <w:lang w:val="en-US"/>
              </w:rPr>
              <w:t>-4,3</w:t>
            </w:r>
          </w:p>
        </w:tc>
        <w:tc>
          <w:tcPr>
            <w:tcW w:w="0" w:type="auto"/>
            <w:tcBorders>
              <w:top w:val="nil"/>
              <w:left w:val="nil"/>
              <w:bottom w:val="single" w:sz="8" w:space="0" w:color="auto"/>
              <w:right w:val="single" w:sz="8" w:space="0" w:color="auto"/>
            </w:tcBorders>
            <w:shd w:val="clear" w:color="auto" w:fill="auto"/>
            <w:noWrap/>
            <w:vAlign w:val="center"/>
            <w:hideMark/>
          </w:tcPr>
          <w:p w14:paraId="61E05079" w14:textId="77777777" w:rsidR="00111684" w:rsidRPr="00111684" w:rsidRDefault="00111684" w:rsidP="00111684">
            <w:pPr>
              <w:spacing w:after="0" w:line="240" w:lineRule="auto"/>
              <w:jc w:val="right"/>
              <w:rPr>
                <w:rFonts w:ascii="Calibri" w:eastAsia="Times New Roman" w:hAnsi="Calibri" w:cs="Calibri"/>
                <w:b/>
                <w:bCs/>
                <w:color w:val="000000"/>
                <w:lang w:val="en-US"/>
              </w:rPr>
            </w:pPr>
            <w:r w:rsidRPr="00111684">
              <w:rPr>
                <w:rFonts w:ascii="Calibri" w:eastAsia="Times New Roman" w:hAnsi="Calibri" w:cs="Calibri"/>
                <w:b/>
                <w:bCs/>
                <w:color w:val="000000"/>
                <w:lang w:val="en-US"/>
              </w:rPr>
              <w:t>-4,3</w:t>
            </w:r>
          </w:p>
        </w:tc>
      </w:tr>
    </w:tbl>
    <w:p w14:paraId="26B37ADE" w14:textId="4A7EAFC1" w:rsidR="00E32AE3" w:rsidRPr="00E32AE3" w:rsidRDefault="00E32AE3" w:rsidP="00EF4376">
      <w:pPr>
        <w:jc w:val="both"/>
        <w:rPr>
          <w:b/>
        </w:rPr>
      </w:pPr>
      <w:bookmarkStart w:id="1" w:name="_Hlk167200716"/>
      <w:r w:rsidRPr="00E32AE3">
        <w:rPr>
          <w:b/>
        </w:rPr>
        <w:t xml:space="preserve">Συνολικό κόστος για τέσσερα έτη: 18,6 </w:t>
      </w:r>
      <w:r>
        <w:rPr>
          <w:b/>
        </w:rPr>
        <w:t>δισ. ευρώ.</w:t>
      </w:r>
    </w:p>
    <w:bookmarkEnd w:id="1"/>
    <w:p w14:paraId="7FF7D397" w14:textId="350B3F3A" w:rsidR="00562B06" w:rsidRPr="00140E77" w:rsidRDefault="00165570" w:rsidP="00EF4376">
      <w:pPr>
        <w:jc w:val="both"/>
        <w:rPr>
          <w:b/>
        </w:rPr>
      </w:pPr>
      <w:r w:rsidRPr="00CA2929">
        <w:rPr>
          <w:b/>
        </w:rPr>
        <w:t>Επιπλέον</w:t>
      </w:r>
      <w:r w:rsidR="00140E77">
        <w:rPr>
          <w:b/>
        </w:rPr>
        <w:t xml:space="preserve"> των ανωτέρω,</w:t>
      </w:r>
      <w:r w:rsidRPr="00CA2929">
        <w:rPr>
          <w:b/>
        </w:rPr>
        <w:t xml:space="preserve"> </w:t>
      </w:r>
      <w:r w:rsidR="00182C57" w:rsidRPr="00CA2929">
        <w:rPr>
          <w:b/>
        </w:rPr>
        <w:t xml:space="preserve">ο ίδιος ο ΣΥΡΙΖΑ υπολόγιζε τον Μάρτιο του 2023 </w:t>
      </w:r>
      <w:r w:rsidRPr="00CA2929">
        <w:rPr>
          <w:b/>
        </w:rPr>
        <w:t>εφάπαξ όφελος από μέτρα έκτακτων εισφορών</w:t>
      </w:r>
      <w:r w:rsidR="00140E77">
        <w:rPr>
          <w:b/>
        </w:rPr>
        <w:t>,</w:t>
      </w:r>
      <w:r w:rsidRPr="00CA2929">
        <w:rPr>
          <w:b/>
        </w:rPr>
        <w:t xml:space="preserve"> εφόσον επιβληθούν</w:t>
      </w:r>
      <w:r w:rsidR="00140E77">
        <w:rPr>
          <w:b/>
        </w:rPr>
        <w:t>,</w:t>
      </w:r>
      <w:r w:rsidR="00CA2929">
        <w:rPr>
          <w:b/>
        </w:rPr>
        <w:t xml:space="preserve"> με ποσοστό 90%,</w:t>
      </w:r>
      <w:r w:rsidRPr="00CA2929">
        <w:rPr>
          <w:b/>
        </w:rPr>
        <w:t xml:space="preserve"> ύψους </w:t>
      </w:r>
      <w:r w:rsidR="00C06ABF">
        <w:rPr>
          <w:b/>
        </w:rPr>
        <w:t>2,3</w:t>
      </w:r>
      <w:r w:rsidR="001E70AE" w:rsidRPr="00CA2929">
        <w:rPr>
          <w:b/>
        </w:rPr>
        <w:t xml:space="preserve"> δι</w:t>
      </w:r>
      <w:r w:rsidR="00CA2929">
        <w:rPr>
          <w:b/>
        </w:rPr>
        <w:t>σ.</w:t>
      </w:r>
      <w:r w:rsidR="001E70AE" w:rsidRPr="00CA2929">
        <w:rPr>
          <w:b/>
        </w:rPr>
        <w:t xml:space="preserve"> ευρώ από τις τράπεζες</w:t>
      </w:r>
      <w:r w:rsidR="001B602D">
        <w:rPr>
          <w:b/>
        </w:rPr>
        <w:t xml:space="preserve"> και</w:t>
      </w:r>
      <w:r w:rsidR="00140E77">
        <w:rPr>
          <w:b/>
        </w:rPr>
        <w:t xml:space="preserve"> </w:t>
      </w:r>
      <w:r w:rsidR="001B602D" w:rsidRPr="001B602D">
        <w:rPr>
          <w:b/>
        </w:rPr>
        <w:t>τα διυλιστήρια</w:t>
      </w:r>
      <w:r w:rsidR="001E70AE" w:rsidRPr="00CA2929">
        <w:rPr>
          <w:b/>
        </w:rPr>
        <w:t>. Οι τράπεζες και οι εταιρίες δεν έχουν υποβάλει ακόμη φορολογικές δηλώσεις για τον υπολογισμό του φορολογητέου κέρδους έτους 2023, το οποίο διαφέρει ουσιωδώς από το λογιστικό κέρδος προ φόρων.</w:t>
      </w:r>
      <w:r w:rsidR="00140E77">
        <w:rPr>
          <w:b/>
        </w:rPr>
        <w:t xml:space="preserve"> Σε κάθε περίπτωση τα όποια ποσά έκτακτων εισφορών αφορούν εφάπαξ (</w:t>
      </w:r>
      <w:r w:rsidR="00140E77">
        <w:rPr>
          <w:b/>
          <w:lang w:val="en-US"/>
        </w:rPr>
        <w:t>one</w:t>
      </w:r>
      <w:r w:rsidR="00140E77" w:rsidRPr="00140E77">
        <w:rPr>
          <w:b/>
        </w:rPr>
        <w:t>-</w:t>
      </w:r>
      <w:r w:rsidR="00140E77">
        <w:rPr>
          <w:b/>
          <w:lang w:val="en-US"/>
        </w:rPr>
        <w:t>off</w:t>
      </w:r>
      <w:r w:rsidR="00140E77" w:rsidRPr="00140E77">
        <w:rPr>
          <w:b/>
        </w:rPr>
        <w:t xml:space="preserve">) </w:t>
      </w:r>
      <w:r w:rsidR="00140E77">
        <w:rPr>
          <w:b/>
        </w:rPr>
        <w:t>έσοδα του 1</w:t>
      </w:r>
      <w:r w:rsidR="00140E77" w:rsidRPr="00140E77">
        <w:rPr>
          <w:b/>
          <w:vertAlign w:val="superscript"/>
        </w:rPr>
        <w:t>ου</w:t>
      </w:r>
      <w:r w:rsidR="00140E77">
        <w:rPr>
          <w:b/>
        </w:rPr>
        <w:t xml:space="preserve"> έτους και σε καμία περίπτωση δεν καλύπτουν το κόστος των λοιπών προβλέψεων του νομοσχεδίου που ανέρχεται σε 18,6 δις ευρώ την τετραετία και περιλαμβάνει σειρά μόνιμων μέτρων.</w:t>
      </w:r>
    </w:p>
    <w:p w14:paraId="5972CFA7" w14:textId="5C8D9F36" w:rsidR="00846585" w:rsidRPr="00CA2929" w:rsidRDefault="00846585" w:rsidP="00846585">
      <w:pPr>
        <w:jc w:val="both"/>
        <w:rPr>
          <w:b/>
        </w:rPr>
      </w:pPr>
      <w:r w:rsidRPr="00CA2929">
        <w:rPr>
          <w:b/>
        </w:rPr>
        <w:t>Σε κάθε περίπτωση</w:t>
      </w:r>
      <w:r>
        <w:rPr>
          <w:b/>
        </w:rPr>
        <w:t xml:space="preserve"> η επιβολή τέτοιων εισφορών και μάλιστα σε αυτό το ύψος είναι εξαιρετικά αβέβαιη. Π</w:t>
      </w:r>
      <w:r w:rsidRPr="00CA2929">
        <w:rPr>
          <w:b/>
        </w:rPr>
        <w:t>αραπέμπουμε στο παράδειγμα της Ιταλίας, που μετά την ανακοίνωση έκτακτης εισφοράς στο τραπεζικό σύστημα, έχασε την αξιοπιστία της στις χρηματαγορές και αναγκάστηκε να λάβει πίσω τα μέτρα που είχαν ανακοινωθεί.</w:t>
      </w:r>
    </w:p>
    <w:p w14:paraId="61A607E1" w14:textId="19AB864C" w:rsidR="008C68EE" w:rsidRDefault="008C68EE" w:rsidP="00EF4376">
      <w:pPr>
        <w:jc w:val="both"/>
        <w:rPr>
          <w:bCs/>
        </w:rPr>
      </w:pPr>
      <w:r>
        <w:rPr>
          <w:bCs/>
        </w:rPr>
        <w:t>Σχολιασμός επί των άρθρων</w:t>
      </w:r>
      <w:r w:rsidRPr="006308D7">
        <w:rPr>
          <w:bCs/>
        </w:rPr>
        <w:t>:</w:t>
      </w:r>
    </w:p>
    <w:p w14:paraId="49FA0CFC" w14:textId="6A8CDA67" w:rsidR="008C68EE" w:rsidRPr="00580371" w:rsidRDefault="006308D7" w:rsidP="006308D7">
      <w:pPr>
        <w:jc w:val="both"/>
        <w:rPr>
          <w:b/>
        </w:rPr>
      </w:pPr>
      <w:r w:rsidRPr="00580371">
        <w:rPr>
          <w:b/>
        </w:rPr>
        <w:t>Α. Άρθρα με μειώσεις φ</w:t>
      </w:r>
      <w:r w:rsidR="002E3F65">
        <w:rPr>
          <w:b/>
        </w:rPr>
        <w:t>όρων</w:t>
      </w:r>
      <w:r w:rsidRPr="00580371">
        <w:rPr>
          <w:b/>
        </w:rPr>
        <w:t xml:space="preserve"> και παροχές</w:t>
      </w:r>
    </w:p>
    <w:p w14:paraId="4555BE43" w14:textId="645AA8F4" w:rsidR="00580371" w:rsidRDefault="00580371" w:rsidP="006308D7">
      <w:pPr>
        <w:jc w:val="both"/>
        <w:rPr>
          <w:bCs/>
        </w:rPr>
      </w:pPr>
      <w:r w:rsidRPr="00B6675C">
        <w:rPr>
          <w:b/>
        </w:rPr>
        <w:lastRenderedPageBreak/>
        <w:t>Το άρθρο 5</w:t>
      </w:r>
      <w:r w:rsidR="00B030D7">
        <w:rPr>
          <w:bCs/>
        </w:rPr>
        <w:t xml:space="preserve"> με τίτλο «</w:t>
      </w:r>
      <w:r w:rsidR="00B030D7" w:rsidRPr="00B030D7">
        <w:rPr>
          <w:bCs/>
        </w:rPr>
        <w:t>ΜΕΤΡΑ ΜΕΙΩΣΗΣ/ΚΑΤΑΡΓΗΣΗΣ ΦΟΡΟΛΟΓΙΑΣ ΕΠΙ ΤΩΝ ΠΩΛΟΥΜΕΝΩΝ ΠΡΟΙΟΝΤΩΝ</w:t>
      </w:r>
      <w:r w:rsidR="00B030D7">
        <w:rPr>
          <w:bCs/>
        </w:rPr>
        <w:t>»</w:t>
      </w:r>
      <w:r>
        <w:rPr>
          <w:bCs/>
        </w:rPr>
        <w:t xml:space="preserve"> περιλαμβάνει τ</w:t>
      </w:r>
      <w:r w:rsidR="009A3D9F">
        <w:rPr>
          <w:bCs/>
        </w:rPr>
        <w:t>έσσερις</w:t>
      </w:r>
      <w:r>
        <w:rPr>
          <w:bCs/>
        </w:rPr>
        <w:t xml:space="preserve"> παρεμβάσεις</w:t>
      </w:r>
      <w:r w:rsidRPr="00580371">
        <w:rPr>
          <w:bCs/>
        </w:rPr>
        <w:t>:</w:t>
      </w:r>
    </w:p>
    <w:p w14:paraId="1E003907" w14:textId="1BD3EC57" w:rsidR="00B6675C" w:rsidRDefault="00B6675C" w:rsidP="00B6675C">
      <w:pPr>
        <w:pStyle w:val="ListParagraph"/>
        <w:numPr>
          <w:ilvl w:val="0"/>
          <w:numId w:val="27"/>
        </w:numPr>
        <w:jc w:val="both"/>
        <w:rPr>
          <w:bCs/>
        </w:rPr>
      </w:pPr>
      <w:r>
        <w:rPr>
          <w:bCs/>
        </w:rPr>
        <w:t xml:space="preserve">Μείωση ΕΦΚ </w:t>
      </w:r>
      <w:r w:rsidRPr="00B6675C">
        <w:rPr>
          <w:bCs/>
        </w:rPr>
        <w:t>σε βενζίνη και πετρέλαιο κίνησης στο χαμηλότερο επιτρεπόμενο επίπεδο της Ευρωπαϊκής Ένωσης</w:t>
      </w:r>
      <w:r w:rsidR="00121E29">
        <w:rPr>
          <w:bCs/>
        </w:rPr>
        <w:t xml:space="preserve"> για ένα έτος και με δυνατότητα παράτασης με απόφαση του Υπουργού Οικ</w:t>
      </w:r>
      <w:r w:rsidR="0048222F">
        <w:rPr>
          <w:bCs/>
        </w:rPr>
        <w:t>ο</w:t>
      </w:r>
      <w:r w:rsidR="00121E29">
        <w:rPr>
          <w:bCs/>
        </w:rPr>
        <w:t>νομικών</w:t>
      </w:r>
      <w:r w:rsidR="00210731">
        <w:rPr>
          <w:bCs/>
        </w:rPr>
        <w:t xml:space="preserve"> σε επόμενα έτη</w:t>
      </w:r>
      <w:r>
        <w:rPr>
          <w:bCs/>
        </w:rPr>
        <w:t>, με ετήσιο κόστος 1,6 δισ. ευρώ.</w:t>
      </w:r>
    </w:p>
    <w:p w14:paraId="2A75EF54" w14:textId="2945BE29" w:rsidR="00B6675C" w:rsidRDefault="00A96A53" w:rsidP="00B6675C">
      <w:pPr>
        <w:pStyle w:val="ListParagraph"/>
        <w:numPr>
          <w:ilvl w:val="0"/>
          <w:numId w:val="27"/>
        </w:numPr>
        <w:jc w:val="both"/>
        <w:rPr>
          <w:bCs/>
        </w:rPr>
      </w:pPr>
      <w:r>
        <w:rPr>
          <w:bCs/>
        </w:rPr>
        <w:t xml:space="preserve">Μηδενισμός ΦΠΑ σε συγκεκριμένα προϊόντα διατροφής για έξι μήνες με δυνατότητα επέκτασης άλλους έξι μήνες. Υπολογίζεται απώλεια εσόδων για </w:t>
      </w:r>
      <w:r w:rsidR="00121E29">
        <w:rPr>
          <w:bCs/>
        </w:rPr>
        <w:t xml:space="preserve">ένα </w:t>
      </w:r>
      <w:r>
        <w:rPr>
          <w:bCs/>
        </w:rPr>
        <w:t>έτος 1,</w:t>
      </w:r>
      <w:r w:rsidR="009C2A6B">
        <w:rPr>
          <w:bCs/>
        </w:rPr>
        <w:t>8</w:t>
      </w:r>
      <w:r>
        <w:rPr>
          <w:bCs/>
        </w:rPr>
        <w:t xml:space="preserve"> δισ. ευρώ</w:t>
      </w:r>
      <w:r w:rsidR="001D5A0F">
        <w:rPr>
          <w:bCs/>
        </w:rPr>
        <w:t xml:space="preserve"> (για έξι μήνες περί τα </w:t>
      </w:r>
      <w:r w:rsidR="009C2A6B">
        <w:rPr>
          <w:bCs/>
        </w:rPr>
        <w:t>900</w:t>
      </w:r>
      <w:r w:rsidR="001D5A0F">
        <w:rPr>
          <w:bCs/>
        </w:rPr>
        <w:t xml:space="preserve"> εκατ. ευρώ)</w:t>
      </w:r>
      <w:r>
        <w:rPr>
          <w:bCs/>
        </w:rPr>
        <w:t>.</w:t>
      </w:r>
    </w:p>
    <w:p w14:paraId="47E777AB" w14:textId="660D54E7" w:rsidR="001D5A0F" w:rsidRDefault="008D639C" w:rsidP="00B6675C">
      <w:pPr>
        <w:pStyle w:val="ListParagraph"/>
        <w:numPr>
          <w:ilvl w:val="0"/>
          <w:numId w:val="27"/>
        </w:numPr>
        <w:jc w:val="both"/>
        <w:rPr>
          <w:bCs/>
        </w:rPr>
      </w:pPr>
      <w:r>
        <w:rPr>
          <w:bCs/>
        </w:rPr>
        <w:t>Μ</w:t>
      </w:r>
      <w:r w:rsidRPr="008D639C">
        <w:rPr>
          <w:bCs/>
        </w:rPr>
        <w:t>όνιμη μείωση του συντελεστή ΦΠΑ από το 24% στο 21%, του μειωμένου συντελεστή από το 13% στο 11% και του υπερμειωμένου συντελεστή από το 6% στο 5%</w:t>
      </w:r>
      <w:r w:rsidR="00D8615A">
        <w:rPr>
          <w:bCs/>
        </w:rPr>
        <w:t>, με ετήσιο κόστος</w:t>
      </w:r>
      <w:r w:rsidR="000C0379" w:rsidRPr="000C0379">
        <w:rPr>
          <w:bCs/>
        </w:rPr>
        <w:t xml:space="preserve"> 2,4 </w:t>
      </w:r>
      <w:r w:rsidR="000C0379">
        <w:rPr>
          <w:bCs/>
        </w:rPr>
        <w:t>δισ. ευρώ</w:t>
      </w:r>
      <w:r w:rsidR="007839B6">
        <w:rPr>
          <w:bCs/>
        </w:rPr>
        <w:t>.</w:t>
      </w:r>
    </w:p>
    <w:p w14:paraId="21074215" w14:textId="252213BE" w:rsidR="00505873" w:rsidRDefault="00505873" w:rsidP="00B6675C">
      <w:pPr>
        <w:pStyle w:val="ListParagraph"/>
        <w:numPr>
          <w:ilvl w:val="0"/>
          <w:numId w:val="27"/>
        </w:numPr>
        <w:jc w:val="both"/>
        <w:rPr>
          <w:bCs/>
        </w:rPr>
      </w:pPr>
      <w:r>
        <w:rPr>
          <w:bCs/>
        </w:rPr>
        <w:t>Μόνιμη μείωση ΦΠΑ σε 6% στην ύδρευση και απαλλαγή ΦΠΑ για υπηρεσίες αποχέτευσης. Ετήσιο κόστος 7</w:t>
      </w:r>
      <w:r w:rsidR="00A75477">
        <w:rPr>
          <w:bCs/>
          <w:lang w:val="en-US"/>
        </w:rPr>
        <w:t>0</w:t>
      </w:r>
      <w:r>
        <w:rPr>
          <w:bCs/>
        </w:rPr>
        <w:t xml:space="preserve"> εκατ. ευρώ.</w:t>
      </w:r>
    </w:p>
    <w:p w14:paraId="3A2702F8" w14:textId="192611B8" w:rsidR="00B6675C" w:rsidRPr="00B6675C" w:rsidRDefault="00B6675C" w:rsidP="006308D7">
      <w:pPr>
        <w:jc w:val="both"/>
        <w:rPr>
          <w:bCs/>
        </w:rPr>
      </w:pPr>
      <w:r>
        <w:rPr>
          <w:bCs/>
        </w:rPr>
        <w:t>Αναλυτικά</w:t>
      </w:r>
      <w:r>
        <w:rPr>
          <w:bCs/>
          <w:lang w:val="en-US"/>
        </w:rPr>
        <w:t>:</w:t>
      </w:r>
    </w:p>
    <w:p w14:paraId="3A5F1457" w14:textId="3E9BDEA2" w:rsidR="00580371" w:rsidRDefault="00580371" w:rsidP="00580371">
      <w:pPr>
        <w:pStyle w:val="ListParagraph"/>
        <w:numPr>
          <w:ilvl w:val="0"/>
          <w:numId w:val="26"/>
        </w:numPr>
        <w:jc w:val="both"/>
        <w:rPr>
          <w:bCs/>
        </w:rPr>
      </w:pPr>
      <w:r w:rsidRPr="00580371">
        <w:rPr>
          <w:bCs/>
        </w:rPr>
        <w:t xml:space="preserve">Με την πρώτη παράγραφο προτείνεται </w:t>
      </w:r>
      <w:r w:rsidRPr="00520DFA">
        <w:rPr>
          <w:b/>
        </w:rPr>
        <w:t>μ</w:t>
      </w:r>
      <w:r w:rsidRPr="008A3DC3">
        <w:rPr>
          <w:b/>
        </w:rPr>
        <w:t>είωση του Ειδικού φόρου Κατανάλωσης</w:t>
      </w:r>
      <w:r>
        <w:rPr>
          <w:bCs/>
        </w:rPr>
        <w:t xml:space="preserve"> σε βενζίνη και πετρέλαιο κίνησης στο χαμηλότερο επιτρεπόμενο επίπεδο της Ευρωπαϊκής Ένωσης</w:t>
      </w:r>
      <w:r w:rsidR="00EB0535">
        <w:rPr>
          <w:bCs/>
        </w:rPr>
        <w:t xml:space="preserve"> για ένα έτος </w:t>
      </w:r>
      <w:r w:rsidR="00CE4D63">
        <w:rPr>
          <w:bCs/>
        </w:rPr>
        <w:t xml:space="preserve">από τη δημοσίευση </w:t>
      </w:r>
      <w:r w:rsidR="00EB0535">
        <w:rPr>
          <w:bCs/>
        </w:rPr>
        <w:t>και με δυνατότητα παράτασης με απόφαση του Υπουργού Οικονομικών</w:t>
      </w:r>
      <w:r>
        <w:rPr>
          <w:bCs/>
        </w:rPr>
        <w:t xml:space="preserve">. Δηλαδή από </w:t>
      </w:r>
      <w:r w:rsidR="009E4F04">
        <w:rPr>
          <w:bCs/>
        </w:rPr>
        <w:t>700</w:t>
      </w:r>
      <w:r w:rsidR="009E4F04" w:rsidRPr="009E4F04">
        <w:rPr>
          <w:rFonts w:cstheme="minorHAnsi"/>
          <w:bCs/>
        </w:rPr>
        <w:t>€</w:t>
      </w:r>
      <w:r w:rsidR="009E4F04" w:rsidRPr="009E4F04">
        <w:rPr>
          <w:bCs/>
        </w:rPr>
        <w:t>/</w:t>
      </w:r>
      <w:r w:rsidR="009E4F04">
        <w:rPr>
          <w:bCs/>
        </w:rPr>
        <w:t xml:space="preserve">1000 </w:t>
      </w:r>
      <w:r w:rsidR="009E4F04">
        <w:rPr>
          <w:bCs/>
          <w:lang w:val="en-US"/>
        </w:rPr>
        <w:t>lt</w:t>
      </w:r>
      <w:r w:rsidR="009E4F04" w:rsidRPr="009E4F04">
        <w:rPr>
          <w:bCs/>
        </w:rPr>
        <w:t xml:space="preserve"> </w:t>
      </w:r>
      <w:r w:rsidR="009E4F04">
        <w:rPr>
          <w:bCs/>
        </w:rPr>
        <w:t>στην αμόλυβδη σε 359</w:t>
      </w:r>
      <w:r w:rsidR="009E4F04" w:rsidRPr="009E4F04">
        <w:rPr>
          <w:bCs/>
        </w:rPr>
        <w:t>€/1000 lt</w:t>
      </w:r>
      <w:r w:rsidR="009E4F04">
        <w:rPr>
          <w:bCs/>
        </w:rPr>
        <w:t xml:space="preserve"> και από </w:t>
      </w:r>
      <w:bookmarkStart w:id="2" w:name="_Hlk167014470"/>
      <w:r w:rsidR="009E4F04">
        <w:rPr>
          <w:bCs/>
        </w:rPr>
        <w:t>410</w:t>
      </w:r>
      <w:r w:rsidR="009E4F04" w:rsidRPr="009E4F04">
        <w:rPr>
          <w:bCs/>
        </w:rPr>
        <w:t xml:space="preserve">€/1000 lt </w:t>
      </w:r>
      <w:bookmarkEnd w:id="2"/>
      <w:r w:rsidR="009E4F04" w:rsidRPr="009E4F04">
        <w:rPr>
          <w:bCs/>
        </w:rPr>
        <w:t>σ</w:t>
      </w:r>
      <w:r w:rsidR="009E4F04">
        <w:rPr>
          <w:bCs/>
        </w:rPr>
        <w:t>το πετρέλαιο κίνησης σε 33</w:t>
      </w:r>
      <w:r w:rsidR="009E4F04" w:rsidRPr="009E4F04">
        <w:rPr>
          <w:bCs/>
        </w:rPr>
        <w:t>0€/1000 lt</w:t>
      </w:r>
      <w:r w:rsidR="009E4F04">
        <w:rPr>
          <w:bCs/>
        </w:rPr>
        <w:t>.</w:t>
      </w:r>
      <w:r w:rsidR="00CA2186">
        <w:rPr>
          <w:bCs/>
        </w:rPr>
        <w:t xml:space="preserve"> </w:t>
      </w:r>
      <w:r w:rsidR="00CA2186" w:rsidRPr="00934812">
        <w:rPr>
          <w:b/>
        </w:rPr>
        <w:t>Σημειώνεται ότι δεν προτείνεται μείωση του ΕΦΚ στο Πετρέλαιο Θέρμανσης</w:t>
      </w:r>
      <w:r w:rsidR="00504E1F">
        <w:rPr>
          <w:b/>
        </w:rPr>
        <w:t xml:space="preserve"> </w:t>
      </w:r>
      <w:r w:rsidR="00504E1F" w:rsidRPr="005835CA">
        <w:rPr>
          <w:bCs/>
        </w:rPr>
        <w:t>(</w:t>
      </w:r>
      <w:r w:rsidR="00504E1F" w:rsidRPr="00504E1F">
        <w:rPr>
          <w:bCs/>
        </w:rPr>
        <w:t>που σήμερα ο ΕΦΚ ανέρχεται σε 280€/1000 lt και ο κατώτατος συντελεστής είναι 21 €/1000 lt)</w:t>
      </w:r>
      <w:r w:rsidR="00A41D58">
        <w:rPr>
          <w:bCs/>
        </w:rPr>
        <w:t>.</w:t>
      </w:r>
      <w:r w:rsidR="001A0D9A">
        <w:rPr>
          <w:bCs/>
        </w:rPr>
        <w:t xml:space="preserve"> Από τον ΕΦΚ αυτών των δύο κατηγοριών το 2023 εισπράχθηκαν 3,508 δισ. ευρώ και επιπλέον 842 εκατ. αναλογούν ΦΠΑ, δηλαδή σύνολο 4,350 δισ. ευρώ, εκ των οποίων 2,025 δις ευρώ (2,511 με αναλογούν ΦΠΑ) από την βενζίνη και 1,484 δις ευρώ (1,840 με αναλογούν ΦΠΑ) από το </w:t>
      </w:r>
      <w:r w:rsidR="001A0D9A">
        <w:rPr>
          <w:bCs/>
          <w:lang w:val="en-US"/>
        </w:rPr>
        <w:t>diesel</w:t>
      </w:r>
      <w:r w:rsidR="001A0D9A" w:rsidRPr="001A0D9A">
        <w:rPr>
          <w:bCs/>
        </w:rPr>
        <w:t xml:space="preserve"> </w:t>
      </w:r>
      <w:r w:rsidR="001A0D9A">
        <w:rPr>
          <w:bCs/>
        </w:rPr>
        <w:t xml:space="preserve">κίνησης. </w:t>
      </w:r>
      <w:r w:rsidR="00632451">
        <w:rPr>
          <w:bCs/>
        </w:rPr>
        <w:t xml:space="preserve">Με τους νέους συντελεστές η απώλεια εσόδων ανέρχεται </w:t>
      </w:r>
      <w:r w:rsidR="000542E1">
        <w:rPr>
          <w:bCs/>
        </w:rPr>
        <w:t xml:space="preserve">συνολικά </w:t>
      </w:r>
      <w:r w:rsidR="00632451">
        <w:rPr>
          <w:bCs/>
        </w:rPr>
        <w:t xml:space="preserve">σε </w:t>
      </w:r>
      <w:r w:rsidR="00632451" w:rsidRPr="000542E1">
        <w:rPr>
          <w:b/>
        </w:rPr>
        <w:t>1,</w:t>
      </w:r>
      <w:r w:rsidR="004A4BB4" w:rsidRPr="004A4BB4">
        <w:rPr>
          <w:b/>
        </w:rPr>
        <w:t>6</w:t>
      </w:r>
      <w:r w:rsidR="00632451" w:rsidRPr="000542E1">
        <w:rPr>
          <w:b/>
        </w:rPr>
        <w:t xml:space="preserve"> δι</w:t>
      </w:r>
      <w:r w:rsidR="000542E1" w:rsidRPr="000542E1">
        <w:rPr>
          <w:b/>
        </w:rPr>
        <w:t>σ.</w:t>
      </w:r>
      <w:r w:rsidR="00632451" w:rsidRPr="000542E1">
        <w:rPr>
          <w:b/>
        </w:rPr>
        <w:t xml:space="preserve"> ευρώ</w:t>
      </w:r>
      <w:r w:rsidR="00520DFA">
        <w:rPr>
          <w:b/>
        </w:rPr>
        <w:t xml:space="preserve"> ετησίως</w:t>
      </w:r>
      <w:r w:rsidR="00AB6F21">
        <w:rPr>
          <w:bCs/>
        </w:rPr>
        <w:t>.</w:t>
      </w:r>
    </w:p>
    <w:p w14:paraId="7A8CE2A6" w14:textId="5D1C7D9F" w:rsidR="00A41D58" w:rsidRPr="006969C7" w:rsidRDefault="0094782C" w:rsidP="00580371">
      <w:pPr>
        <w:pStyle w:val="ListParagraph"/>
        <w:numPr>
          <w:ilvl w:val="0"/>
          <w:numId w:val="26"/>
        </w:numPr>
        <w:jc w:val="both"/>
        <w:rPr>
          <w:b/>
        </w:rPr>
      </w:pPr>
      <w:r>
        <w:rPr>
          <w:bCs/>
        </w:rPr>
        <w:t xml:space="preserve">Με την </w:t>
      </w:r>
      <w:r w:rsidR="00520DFA">
        <w:rPr>
          <w:bCs/>
        </w:rPr>
        <w:t>δεύτερ</w:t>
      </w:r>
      <w:r w:rsidR="00C34071">
        <w:rPr>
          <w:bCs/>
        </w:rPr>
        <w:t xml:space="preserve">η παράγραφο </w:t>
      </w:r>
      <w:r w:rsidR="009C2F46" w:rsidRPr="009C2F46">
        <w:rPr>
          <w:b/>
        </w:rPr>
        <w:t>θεσπίζεται μηδενικός συντελεστής ΦΠΑ</w:t>
      </w:r>
      <w:r w:rsidR="009C2F46">
        <w:rPr>
          <w:bCs/>
        </w:rPr>
        <w:t xml:space="preserve"> </w:t>
      </w:r>
      <w:r w:rsidR="00CE4D63">
        <w:rPr>
          <w:bCs/>
        </w:rPr>
        <w:t xml:space="preserve">από 1/07/2024 </w:t>
      </w:r>
      <w:r w:rsidR="009C2F46">
        <w:rPr>
          <w:bCs/>
        </w:rPr>
        <w:t>για έξι μήνες</w:t>
      </w:r>
      <w:r w:rsidR="00CE4D63">
        <w:rPr>
          <w:bCs/>
        </w:rPr>
        <w:t>,</w:t>
      </w:r>
      <w:r w:rsidR="009C2F46">
        <w:rPr>
          <w:bCs/>
        </w:rPr>
        <w:t xml:space="preserve"> που στη συνέχεια με βάση την τέταρτη παράγραφο του άρθρου </w:t>
      </w:r>
      <w:r w:rsidR="00CE4D63" w:rsidRPr="00CE4D63">
        <w:rPr>
          <w:bCs/>
        </w:rPr>
        <w:t xml:space="preserve">μπορεί να επεκταθεί άλλους έξι και </w:t>
      </w:r>
      <w:r w:rsidR="009C2F46">
        <w:rPr>
          <w:bCs/>
        </w:rPr>
        <w:t xml:space="preserve">επανέρχεται μετά από ένα έτος στον μειωμένο συντελεστή, </w:t>
      </w:r>
      <w:r w:rsidR="009C2F46" w:rsidRPr="009C2F46">
        <w:rPr>
          <w:b/>
        </w:rPr>
        <w:t>σε  σειρά αγαθών διατροφής</w:t>
      </w:r>
      <w:r w:rsidR="009C2F46">
        <w:rPr>
          <w:bCs/>
        </w:rPr>
        <w:t xml:space="preserve"> όπως είναι τα κρέατα, το γάλα και προϊόντα γαλακτοκομείας, τα λαχαν</w:t>
      </w:r>
      <w:r w:rsidR="00252EEC">
        <w:rPr>
          <w:bCs/>
        </w:rPr>
        <w:t>ι</w:t>
      </w:r>
      <w:r w:rsidR="009C2F46">
        <w:rPr>
          <w:bCs/>
        </w:rPr>
        <w:t xml:space="preserve">κά, τα δημητριακά, τα προϊόντα αλευροποιίας, το ελαιόλαδο, σογιέλαιο και άλλα έλαια και σε βρεφικά ήδη. </w:t>
      </w:r>
      <w:r w:rsidR="009C2F46" w:rsidRPr="009C2F46">
        <w:rPr>
          <w:b/>
        </w:rPr>
        <w:t xml:space="preserve">Σημειώνεται ότι </w:t>
      </w:r>
      <w:r w:rsidR="00A96A53">
        <w:rPr>
          <w:b/>
        </w:rPr>
        <w:t>σύμφωνα με την πρόταση νόμου</w:t>
      </w:r>
      <w:r w:rsidR="009C2F46" w:rsidRPr="009C2F46">
        <w:rPr>
          <w:b/>
        </w:rPr>
        <w:t xml:space="preserve"> δεν μειώνεται ο συντελεστής ΦΠΑ στα φρούτα και στα ψάρια.</w:t>
      </w:r>
      <w:r w:rsidR="00CE4F96">
        <w:rPr>
          <w:b/>
        </w:rPr>
        <w:t xml:space="preserve"> </w:t>
      </w:r>
      <w:r w:rsidR="00CE4F96" w:rsidRPr="00CE4F96">
        <w:rPr>
          <w:bCs/>
        </w:rPr>
        <w:t xml:space="preserve">Υπολογίζεται, με βάση τις </w:t>
      </w:r>
      <w:r w:rsidR="00722B4C">
        <w:rPr>
          <w:bCs/>
        </w:rPr>
        <w:t xml:space="preserve">δασμολογικές κλάσεις </w:t>
      </w:r>
      <w:r w:rsidR="00CE4F96" w:rsidRPr="00CE4F96">
        <w:rPr>
          <w:bCs/>
        </w:rPr>
        <w:t>των συγκεκριμένων προϊόντων</w:t>
      </w:r>
      <w:r w:rsidR="00A96A53">
        <w:rPr>
          <w:bCs/>
        </w:rPr>
        <w:t xml:space="preserve"> που περιλαμβάνει η πρόταση νόμου</w:t>
      </w:r>
      <w:r w:rsidR="00CE4F96" w:rsidRPr="00CE4F96">
        <w:rPr>
          <w:bCs/>
        </w:rPr>
        <w:t>,</w:t>
      </w:r>
      <w:r w:rsidR="00CE4F96">
        <w:rPr>
          <w:b/>
        </w:rPr>
        <w:t xml:space="preserve"> </w:t>
      </w:r>
      <w:r w:rsidR="00CE4F96" w:rsidRPr="00CE4F96">
        <w:rPr>
          <w:b/>
        </w:rPr>
        <w:t xml:space="preserve">απώλεια εσόδων ΦΠΑ για ένα </w:t>
      </w:r>
      <w:r w:rsidR="00CE4F96" w:rsidRPr="006969C7">
        <w:rPr>
          <w:b/>
        </w:rPr>
        <w:t xml:space="preserve">έτος ύψους </w:t>
      </w:r>
      <w:r w:rsidR="009C32EE">
        <w:rPr>
          <w:b/>
        </w:rPr>
        <w:t>περίπου</w:t>
      </w:r>
      <w:r w:rsidR="009C32EE" w:rsidRPr="009C32EE">
        <w:rPr>
          <w:b/>
        </w:rPr>
        <w:t xml:space="preserve"> </w:t>
      </w:r>
      <w:r w:rsidR="00CE4F96" w:rsidRPr="006969C7">
        <w:rPr>
          <w:b/>
        </w:rPr>
        <w:t>1,</w:t>
      </w:r>
      <w:r w:rsidR="00DC3364">
        <w:rPr>
          <w:b/>
        </w:rPr>
        <w:t>8</w:t>
      </w:r>
      <w:r w:rsidR="00CE4F96" w:rsidRPr="006969C7">
        <w:rPr>
          <w:b/>
        </w:rPr>
        <w:t xml:space="preserve"> δισ. ευρ</w:t>
      </w:r>
      <w:r w:rsidR="00F91B2D" w:rsidRPr="006969C7">
        <w:rPr>
          <w:b/>
        </w:rPr>
        <w:t>ώ</w:t>
      </w:r>
      <w:r w:rsidR="00CE4F96" w:rsidRPr="006969C7">
        <w:rPr>
          <w:b/>
        </w:rPr>
        <w:t>.</w:t>
      </w:r>
    </w:p>
    <w:p w14:paraId="3799524D" w14:textId="0D5A070B" w:rsidR="00E31B68" w:rsidRDefault="00966B9D" w:rsidP="00580371">
      <w:pPr>
        <w:pStyle w:val="ListParagraph"/>
        <w:numPr>
          <w:ilvl w:val="0"/>
          <w:numId w:val="26"/>
        </w:numPr>
        <w:jc w:val="both"/>
        <w:rPr>
          <w:bCs/>
        </w:rPr>
      </w:pPr>
      <w:r w:rsidRPr="00966B9D">
        <w:rPr>
          <w:bCs/>
        </w:rPr>
        <w:t xml:space="preserve">Με την τρίτη παράγραφο </w:t>
      </w:r>
      <w:r w:rsidR="006431A7">
        <w:rPr>
          <w:bCs/>
        </w:rPr>
        <w:t xml:space="preserve">προτείνεται </w:t>
      </w:r>
      <w:r w:rsidR="006431A7" w:rsidRPr="00F66962">
        <w:rPr>
          <w:b/>
        </w:rPr>
        <w:t>μόνιμη μείωση του συντελεστή ΦΠΑ</w:t>
      </w:r>
      <w:r w:rsidR="006431A7">
        <w:rPr>
          <w:bCs/>
        </w:rPr>
        <w:t xml:space="preserve"> από το 2</w:t>
      </w:r>
      <w:r w:rsidR="00114F4C">
        <w:rPr>
          <w:bCs/>
        </w:rPr>
        <w:t>4</w:t>
      </w:r>
      <w:r w:rsidR="006431A7">
        <w:rPr>
          <w:bCs/>
        </w:rPr>
        <w:t>% στο</w:t>
      </w:r>
      <w:r w:rsidR="00114F4C">
        <w:rPr>
          <w:bCs/>
        </w:rPr>
        <w:t xml:space="preserve"> 21%, του μειωμένου συντελεστή από το </w:t>
      </w:r>
      <w:r w:rsidR="00AA0B97">
        <w:rPr>
          <w:bCs/>
        </w:rPr>
        <w:t>13% στο 11% και του υπερμειωμένου συντελεστή από το 6% στο 5%</w:t>
      </w:r>
      <w:r w:rsidR="00FC0D5B">
        <w:rPr>
          <w:bCs/>
        </w:rPr>
        <w:t xml:space="preserve"> από 1/1/2025</w:t>
      </w:r>
      <w:r w:rsidR="00AA0B97">
        <w:rPr>
          <w:bCs/>
        </w:rPr>
        <w:t xml:space="preserve">. </w:t>
      </w:r>
      <w:r w:rsidR="00F66962">
        <w:rPr>
          <w:bCs/>
        </w:rPr>
        <w:t xml:space="preserve">Υπολογίζεται </w:t>
      </w:r>
      <w:r w:rsidR="00F66962" w:rsidRPr="00F66962">
        <w:rPr>
          <w:b/>
        </w:rPr>
        <w:t>ετήσιο κόστος</w:t>
      </w:r>
      <w:r w:rsidR="00F66962">
        <w:rPr>
          <w:bCs/>
        </w:rPr>
        <w:t xml:space="preserve"> με βάση τα στοιχεία εισπράξεων ΦΠΑ 2023</w:t>
      </w:r>
      <w:r w:rsidR="00F66962" w:rsidRPr="00F66962">
        <w:rPr>
          <w:b/>
        </w:rPr>
        <w:t>, 2,4 δισ. ευρώ</w:t>
      </w:r>
      <w:r w:rsidR="00F66962">
        <w:rPr>
          <w:bCs/>
        </w:rPr>
        <w:t>.</w:t>
      </w:r>
      <w:r w:rsidR="00D14935">
        <w:rPr>
          <w:bCs/>
        </w:rPr>
        <w:t xml:space="preserve"> Σημειώνεται ότι για το πρώτο έτος εφαρμογής ποσό </w:t>
      </w:r>
      <w:r w:rsidR="009C32EE">
        <w:rPr>
          <w:bCs/>
        </w:rPr>
        <w:t xml:space="preserve">περίπου </w:t>
      </w:r>
      <w:r w:rsidR="004A4BB4" w:rsidRPr="004A4BB4">
        <w:rPr>
          <w:bCs/>
        </w:rPr>
        <w:t>0,25</w:t>
      </w:r>
      <w:r w:rsidR="00D14935">
        <w:rPr>
          <w:bCs/>
        </w:rPr>
        <w:t xml:space="preserve"> </w:t>
      </w:r>
      <w:r w:rsidR="004A4BB4">
        <w:rPr>
          <w:bCs/>
        </w:rPr>
        <w:t>δισ</w:t>
      </w:r>
      <w:r w:rsidR="00D14935">
        <w:rPr>
          <w:bCs/>
        </w:rPr>
        <w:t>. ευρώ εκ του ανωτέρω ποσού περιλαμβάνεται στο κόστος μηδενισμού ορισμένων συντελεστών ΦΠΑ σύμφωνα με την δεύτερη παράγραφο.</w:t>
      </w:r>
    </w:p>
    <w:p w14:paraId="23C01CFF" w14:textId="318CC638" w:rsidR="00252803" w:rsidRPr="00966B9D" w:rsidRDefault="00252803" w:rsidP="00580371">
      <w:pPr>
        <w:pStyle w:val="ListParagraph"/>
        <w:numPr>
          <w:ilvl w:val="0"/>
          <w:numId w:val="26"/>
        </w:numPr>
        <w:jc w:val="both"/>
        <w:rPr>
          <w:bCs/>
        </w:rPr>
      </w:pPr>
      <w:r>
        <w:rPr>
          <w:bCs/>
        </w:rPr>
        <w:t xml:space="preserve">Με την </w:t>
      </w:r>
      <w:r w:rsidR="00412A84">
        <w:rPr>
          <w:bCs/>
        </w:rPr>
        <w:t>π</w:t>
      </w:r>
      <w:r>
        <w:rPr>
          <w:bCs/>
        </w:rPr>
        <w:t>έμπτη παράγραφο</w:t>
      </w:r>
      <w:r w:rsidR="0092700F">
        <w:rPr>
          <w:bCs/>
        </w:rPr>
        <w:t xml:space="preserve"> μειώνεται το ΦΠΑ στην ύδρευση από το 13% στο 6% και η απαλλαγή από τον ΦΠΑ για τις υπηρεσίες αποχέτευσης. Το ετήσιο κόστος </w:t>
      </w:r>
      <w:r w:rsidR="0092700F">
        <w:rPr>
          <w:bCs/>
        </w:rPr>
        <w:lastRenderedPageBreak/>
        <w:t>υπολογίζεται σε</w:t>
      </w:r>
      <w:r w:rsidR="009C32EE">
        <w:rPr>
          <w:bCs/>
        </w:rPr>
        <w:t xml:space="preserve"> περίπου</w:t>
      </w:r>
      <w:r w:rsidR="0092700F">
        <w:rPr>
          <w:bCs/>
        </w:rPr>
        <w:t xml:space="preserve"> </w:t>
      </w:r>
      <w:r w:rsidR="0092700F" w:rsidRPr="003952E6">
        <w:rPr>
          <w:b/>
        </w:rPr>
        <w:t>7</w:t>
      </w:r>
      <w:r w:rsidR="00A80CB1" w:rsidRPr="00A80CB1">
        <w:rPr>
          <w:b/>
        </w:rPr>
        <w:t>0</w:t>
      </w:r>
      <w:r w:rsidR="0092700F" w:rsidRPr="003952E6">
        <w:rPr>
          <w:b/>
        </w:rPr>
        <w:t xml:space="preserve"> εκατ. ευρώ</w:t>
      </w:r>
      <w:r w:rsidR="0092700F" w:rsidRPr="003952E6">
        <w:rPr>
          <w:bCs/>
        </w:rPr>
        <w:t>.</w:t>
      </w:r>
      <w:r w:rsidR="00BA732A">
        <w:rPr>
          <w:bCs/>
        </w:rPr>
        <w:t xml:space="preserve"> Σημειώνεται ότι εάν μειωθεί ο υπερμειωμένος συντελεστής ΦΠΑ σε 5%, θα απαιτηθεί ενδεχομένως </w:t>
      </w:r>
      <w:r w:rsidR="004A66A5">
        <w:rPr>
          <w:bCs/>
        </w:rPr>
        <w:t xml:space="preserve">αντίστοιχη </w:t>
      </w:r>
      <w:r w:rsidR="00BA732A">
        <w:rPr>
          <w:bCs/>
        </w:rPr>
        <w:t>μείωση και του συντελεστή στην ύδρευση</w:t>
      </w:r>
      <w:r w:rsidR="004A66A5">
        <w:rPr>
          <w:bCs/>
        </w:rPr>
        <w:t>, καθώς επιτρέπονται τρεις συντελεστές ΦΠΑ (κανονικός, μειωμένος και υπερμειωμένος)</w:t>
      </w:r>
      <w:r w:rsidR="00BA732A">
        <w:rPr>
          <w:bCs/>
        </w:rPr>
        <w:t>.</w:t>
      </w:r>
    </w:p>
    <w:p w14:paraId="115268AB" w14:textId="77777777" w:rsidR="006308D7" w:rsidRPr="006308D7" w:rsidRDefault="006308D7" w:rsidP="006308D7">
      <w:pPr>
        <w:jc w:val="both"/>
        <w:rPr>
          <w:bCs/>
        </w:rPr>
      </w:pPr>
    </w:p>
    <w:p w14:paraId="74845F62" w14:textId="31AFEE60" w:rsidR="005657E6" w:rsidRDefault="005657E6" w:rsidP="005657E6">
      <w:pPr>
        <w:jc w:val="both"/>
        <w:rPr>
          <w:bCs/>
        </w:rPr>
      </w:pPr>
      <w:r w:rsidRPr="00B6675C">
        <w:rPr>
          <w:b/>
        </w:rPr>
        <w:t xml:space="preserve">Το άρθρο </w:t>
      </w:r>
      <w:r w:rsidR="00283AD8">
        <w:rPr>
          <w:b/>
        </w:rPr>
        <w:t>6</w:t>
      </w:r>
      <w:r>
        <w:rPr>
          <w:bCs/>
        </w:rPr>
        <w:t xml:space="preserve"> με τίτλο «</w:t>
      </w:r>
      <w:r w:rsidR="00283AD8" w:rsidRPr="00283AD8">
        <w:rPr>
          <w:bCs/>
        </w:rPr>
        <w:t>ΧΟΡΗΓΗΣΗ ΕΙΔΙΚΗΣ ΚΑΡΤΑΣ «ΑΓΡΟΚΙΝΗΣΗ»</w:t>
      </w:r>
      <w:r>
        <w:rPr>
          <w:bCs/>
        </w:rPr>
        <w:t xml:space="preserve"> </w:t>
      </w:r>
      <w:r w:rsidR="00283AD8">
        <w:rPr>
          <w:bCs/>
        </w:rPr>
        <w:t xml:space="preserve">προβλέπει οικονομική ενίσχυση ισόποση της επιστροφής του ΕΦΚ </w:t>
      </w:r>
      <w:r w:rsidR="00283AD8">
        <w:rPr>
          <w:bCs/>
          <w:lang w:val="en-US"/>
        </w:rPr>
        <w:t>diesel</w:t>
      </w:r>
      <w:r w:rsidR="00283AD8" w:rsidRPr="00283AD8">
        <w:rPr>
          <w:bCs/>
        </w:rPr>
        <w:t xml:space="preserve"> </w:t>
      </w:r>
      <w:r w:rsidR="00283AD8">
        <w:rPr>
          <w:bCs/>
        </w:rPr>
        <w:t xml:space="preserve">κίνησης προσαυξημένη κατά 18%. Για την ενίσχυση χρησιμοποιούνται τα ανώτατα όρια ανά καλλιέργεια που έχει και η σημερινή ΚΥΑ (με προσαύξηση 18%) και η ενίσχυση </w:t>
      </w:r>
      <w:r w:rsidR="00BB4248">
        <w:rPr>
          <w:bCs/>
        </w:rPr>
        <w:t>θα προκαταβάλλεται (όχι επιστροφή) στην κάρτα.</w:t>
      </w:r>
    </w:p>
    <w:p w14:paraId="2521B375" w14:textId="7C35AAA4" w:rsidR="00283AD8" w:rsidRPr="00A13C23" w:rsidRDefault="00BB4248" w:rsidP="00A13C23">
      <w:pPr>
        <w:pStyle w:val="ListParagraph"/>
        <w:numPr>
          <w:ilvl w:val="0"/>
          <w:numId w:val="48"/>
        </w:numPr>
        <w:jc w:val="both"/>
        <w:rPr>
          <w:bCs/>
        </w:rPr>
      </w:pPr>
      <w:r w:rsidRPr="00A13C23">
        <w:rPr>
          <w:bCs/>
        </w:rPr>
        <w:t>Η Κυβέρνηση έχει ήδη ανακοινώσει ότι από το 2025 θα επιστρέφεται ο ΕΦΚ στους αγρότες με τα ανώτατα όρια της σημερινής ΚΥΑ αλλά με βάση την πραγματική κατανάλωση</w:t>
      </w:r>
      <w:r w:rsidR="007C191A" w:rsidRPr="00A13C23">
        <w:rPr>
          <w:bCs/>
        </w:rPr>
        <w:t xml:space="preserve"> και έχει προϋπολογίσει στο Πρόγραμμα Σταθερότητας ετήσιο κόστος 100 εκατ. ευρώ.</w:t>
      </w:r>
    </w:p>
    <w:p w14:paraId="084D1421" w14:textId="2ADA24D0" w:rsidR="007C191A" w:rsidRPr="00A13C23" w:rsidRDefault="007C191A" w:rsidP="00A13C23">
      <w:pPr>
        <w:pStyle w:val="ListParagraph"/>
        <w:numPr>
          <w:ilvl w:val="0"/>
          <w:numId w:val="48"/>
        </w:numPr>
        <w:jc w:val="both"/>
        <w:rPr>
          <w:bCs/>
        </w:rPr>
      </w:pPr>
      <w:r w:rsidRPr="00A13C23">
        <w:rPr>
          <w:bCs/>
        </w:rPr>
        <w:t>Ο ΣΥΡΙΖΑ προτείνει την παροχή ενίσχυσης ίση με τον ΕΦΚ προσαυξημένη κατά 18%, παραβλέποντας ότι αυτό δεν αποτελεί επιστροφή φόρου</w:t>
      </w:r>
      <w:r w:rsidR="009E488C" w:rsidRPr="00A13C23">
        <w:rPr>
          <w:bCs/>
        </w:rPr>
        <w:t>, αλλά ενίσχυση</w:t>
      </w:r>
      <w:r w:rsidRPr="00A13C23">
        <w:rPr>
          <w:bCs/>
        </w:rPr>
        <w:t xml:space="preserve"> και συνεπώς υπόκειται στους κανόνες </w:t>
      </w:r>
      <w:r w:rsidRPr="00A13C23">
        <w:rPr>
          <w:bCs/>
          <w:lang w:val="en-US"/>
        </w:rPr>
        <w:t>Deminimis</w:t>
      </w:r>
      <w:r w:rsidRPr="00A13C23">
        <w:rPr>
          <w:bCs/>
        </w:rPr>
        <w:t xml:space="preserve"> κρατικών ενισχύσεων, όπου τα εν λόγω ποσά είναι ήδη δεσμευμένα για πολλούς αγρότες υπό τη μορφή άλλων ενισχύσεων. </w:t>
      </w:r>
    </w:p>
    <w:p w14:paraId="0BB32FA5" w14:textId="7075ECB9" w:rsidR="009E488C" w:rsidRPr="00A13C23" w:rsidRDefault="009E488C" w:rsidP="00A13C23">
      <w:pPr>
        <w:pStyle w:val="ListParagraph"/>
        <w:numPr>
          <w:ilvl w:val="0"/>
          <w:numId w:val="48"/>
        </w:numPr>
        <w:jc w:val="both"/>
        <w:rPr>
          <w:bCs/>
        </w:rPr>
      </w:pPr>
      <w:r w:rsidRPr="00A13C23">
        <w:rPr>
          <w:bCs/>
        </w:rPr>
        <w:t xml:space="preserve">Το ετήσιο κόστος με βάση τους σημερινούς συντελεστές ΕΦΚ εκτιμάται σε 194 εκατ. ευρώ ετησίως. Σε περίπτωση που εφαρμοστεί σε συνδυασμό με τους μειωμένους συντελεστές ΕΦΚ του άρθρου 5 του προτεινόμενου νόμου το κόστος εκτιμάται σε </w:t>
      </w:r>
      <w:r w:rsidR="00D91D70" w:rsidRPr="00A13C23">
        <w:rPr>
          <w:b/>
        </w:rPr>
        <w:t>156 εκατ. ευρώ ετησίως</w:t>
      </w:r>
      <w:r w:rsidR="00D91D70" w:rsidRPr="00A13C23">
        <w:rPr>
          <w:bCs/>
        </w:rPr>
        <w:t>.</w:t>
      </w:r>
    </w:p>
    <w:p w14:paraId="49D1363B" w14:textId="77777777" w:rsidR="00207D46" w:rsidRPr="00E669F0" w:rsidRDefault="00207D46" w:rsidP="005657E6">
      <w:pPr>
        <w:jc w:val="both"/>
        <w:rPr>
          <w:bCs/>
        </w:rPr>
      </w:pPr>
    </w:p>
    <w:p w14:paraId="5B6B018C" w14:textId="22D7E8C3" w:rsidR="006308D7" w:rsidRDefault="00DF434C" w:rsidP="00EF4376">
      <w:pPr>
        <w:jc w:val="both"/>
        <w:rPr>
          <w:bCs/>
        </w:rPr>
      </w:pPr>
      <w:r w:rsidRPr="00B6675C">
        <w:rPr>
          <w:b/>
        </w:rPr>
        <w:t xml:space="preserve">Το άρθρο </w:t>
      </w:r>
      <w:r w:rsidRPr="005D5A49">
        <w:rPr>
          <w:b/>
        </w:rPr>
        <w:t>11</w:t>
      </w:r>
      <w:r>
        <w:rPr>
          <w:bCs/>
        </w:rPr>
        <w:t xml:space="preserve"> με τίτλο «</w:t>
      </w:r>
      <w:r w:rsidR="005D5A49">
        <w:rPr>
          <w:bCs/>
        </w:rPr>
        <w:t>Μείωση κόστους κάρτας απεριορίστων μεταφορών σε μέσα μαζικής μεταφοράς</w:t>
      </w:r>
      <w:r w:rsidRPr="00283AD8">
        <w:rPr>
          <w:bCs/>
        </w:rPr>
        <w:t>»</w:t>
      </w:r>
      <w:r>
        <w:rPr>
          <w:bCs/>
        </w:rPr>
        <w:t xml:space="preserve"> προβλέπει</w:t>
      </w:r>
      <w:r w:rsidR="007E4DE5">
        <w:rPr>
          <w:bCs/>
        </w:rPr>
        <w:t xml:space="preserve"> μειώσεις της τάξης του 60%-63% στις μηνιαίες</w:t>
      </w:r>
      <w:r w:rsidR="00D25A86" w:rsidRPr="00D25A86">
        <w:rPr>
          <w:bCs/>
        </w:rPr>
        <w:t xml:space="preserve"> (</w:t>
      </w:r>
      <w:r w:rsidR="00D25A86">
        <w:rPr>
          <w:bCs/>
        </w:rPr>
        <w:t>από τα 27 στα 10 ευρώ)</w:t>
      </w:r>
      <w:r w:rsidR="007E4DE5">
        <w:rPr>
          <w:bCs/>
        </w:rPr>
        <w:t>, τριμηνιαίες</w:t>
      </w:r>
      <w:r w:rsidR="00D25A86">
        <w:rPr>
          <w:bCs/>
        </w:rPr>
        <w:t xml:space="preserve"> (από τα 78 στα 33 ευρώ)</w:t>
      </w:r>
      <w:r w:rsidR="007E4DE5">
        <w:rPr>
          <w:bCs/>
        </w:rPr>
        <w:t>, εξαμηνιαίες</w:t>
      </w:r>
      <w:r w:rsidR="00D25A86">
        <w:rPr>
          <w:bCs/>
        </w:rPr>
        <w:t xml:space="preserve"> (από τα 155 στα 60 ευρώ)</w:t>
      </w:r>
      <w:r w:rsidR="007E4DE5">
        <w:rPr>
          <w:bCs/>
        </w:rPr>
        <w:t xml:space="preserve"> και ετήσιες (από τα 300 στα 120 ευρώ) </w:t>
      </w:r>
      <w:r w:rsidR="00D25A86">
        <w:rPr>
          <w:bCs/>
        </w:rPr>
        <w:t xml:space="preserve">κάρτες </w:t>
      </w:r>
      <w:r w:rsidR="007E4DE5">
        <w:rPr>
          <w:bCs/>
        </w:rPr>
        <w:t>απεριορίστων μεταφορών του ΟΟΣΑ (ΟΣΥ, ΣΤΑΣΥ) και ΤΡΑΙΝΟΣΕ</w:t>
      </w:r>
      <w:r w:rsidR="00D25A86">
        <w:rPr>
          <w:bCs/>
        </w:rPr>
        <w:t xml:space="preserve"> πλην αεροδρομίου</w:t>
      </w:r>
      <w:r w:rsidR="007E4DE5">
        <w:rPr>
          <w:bCs/>
        </w:rPr>
        <w:t>, μειώσεις της τάξης του 33% έως 73% στις κάρτες αεροδρομίου και μειώσεις της τάξης του 50% έως 63% στις κάρτες απεριορίστων διαδρομών του ΟΑΣΘ.</w:t>
      </w:r>
    </w:p>
    <w:p w14:paraId="012DAEA9" w14:textId="5EEA7FBC" w:rsidR="00F34A87" w:rsidRPr="008D4C85" w:rsidRDefault="00F34A87" w:rsidP="005333C6">
      <w:pPr>
        <w:pStyle w:val="ListParagraph"/>
        <w:numPr>
          <w:ilvl w:val="0"/>
          <w:numId w:val="28"/>
        </w:numPr>
        <w:jc w:val="both"/>
        <w:rPr>
          <w:bCs/>
        </w:rPr>
      </w:pPr>
      <w:r w:rsidRPr="008D4C85">
        <w:rPr>
          <w:bCs/>
        </w:rPr>
        <w:t>Οι τιμές των εισιτηρίων των Μέσων Μαζικής Μεταφοράς στην Ελλάδα είναι ήδη από τις χαμηλότερες στην Ευρώπη</w:t>
      </w:r>
      <w:r w:rsidR="00826560" w:rsidRPr="008D4C85">
        <w:rPr>
          <w:bCs/>
        </w:rPr>
        <w:t xml:space="preserve"> και διατίθενται σημαντικά κάτω του κόστους</w:t>
      </w:r>
      <w:r w:rsidR="008D4C85" w:rsidRPr="008D4C85">
        <w:rPr>
          <w:bCs/>
        </w:rPr>
        <w:t xml:space="preserve"> (ενδεικτικά στην Ελλάδα το εισιτήριο είναι 1,2, στη Ρώμη 1,5, στο Παρίσι 1,9, στο Βερολίνο 2, στη Βιέννη 2,4, στο Άμστερνταμ 3,2)</w:t>
      </w:r>
      <w:r w:rsidRPr="008D4C85">
        <w:rPr>
          <w:bCs/>
        </w:rPr>
        <w:t>. Αυτό συμβαίνει γιατί το μεγαλύτερο μέρος του κόστους του συγκοινωνιακού έργου καλύπτεται από τον τακτικό προϋπολογισμό. Είναι ενδεικτικό ότι ο ΟΑΣΑ (ΣΤΑΣΥ και ΟΣΥ) σύμφωνα με τις τελευταίες δημοσιευμένες οικονομικές καταστάσεις των δύο εταιριών</w:t>
      </w:r>
      <w:r w:rsidR="00A33C3B" w:rsidRPr="008D4C85">
        <w:rPr>
          <w:bCs/>
        </w:rPr>
        <w:t xml:space="preserve"> (2022)</w:t>
      </w:r>
      <w:r w:rsidRPr="008D4C85">
        <w:rPr>
          <w:bCs/>
        </w:rPr>
        <w:t>, εισέπραξε μόλις 126 εκατ. ευρώ από εισιτήρια και κάρτες, ενώ το κράτος εισέφερε συνολικά 312 εκατ. ευρώ, εκ των οποίων 228 εκατ. ευρώ ήταν κρατική επιχορήγηση και 84 εκατ. ευρώ αποζημίωση για μετακίνηση ειδικών ομάδων ωφελούμενων (ανέργων</w:t>
      </w:r>
      <w:r w:rsidR="00A87374" w:rsidRPr="008D4C85">
        <w:rPr>
          <w:bCs/>
        </w:rPr>
        <w:t xml:space="preserve"> </w:t>
      </w:r>
      <w:r w:rsidRPr="008D4C85">
        <w:rPr>
          <w:bCs/>
        </w:rPr>
        <w:t>κτλ.).</w:t>
      </w:r>
      <w:r w:rsidR="00F10737" w:rsidRPr="008D4C85">
        <w:rPr>
          <w:bCs/>
        </w:rPr>
        <w:t xml:space="preserve"> Από την εφαρμογή του μέτρου εκτιμάται απώλεια εσόδων της τάξης των</w:t>
      </w:r>
      <w:r w:rsidR="00F10737" w:rsidRPr="008D4C85">
        <w:rPr>
          <w:b/>
        </w:rPr>
        <w:t xml:space="preserve"> 50 εκατ. ευρώ από </w:t>
      </w:r>
      <w:r w:rsidR="002200F3" w:rsidRPr="008D4C85">
        <w:rPr>
          <w:b/>
        </w:rPr>
        <w:t>τους συγκοινωνιακούς φορείς</w:t>
      </w:r>
      <w:r w:rsidR="00F10737" w:rsidRPr="008D4C85">
        <w:rPr>
          <w:b/>
        </w:rPr>
        <w:t>.</w:t>
      </w:r>
      <w:r w:rsidR="007D507E" w:rsidRPr="008D4C85">
        <w:rPr>
          <w:bCs/>
        </w:rPr>
        <w:t xml:space="preserve"> </w:t>
      </w:r>
    </w:p>
    <w:p w14:paraId="3D94AFB7" w14:textId="3BA475BF" w:rsidR="00F10737" w:rsidRPr="00297194" w:rsidRDefault="00F10737" w:rsidP="007954BB">
      <w:pPr>
        <w:pStyle w:val="ListParagraph"/>
        <w:numPr>
          <w:ilvl w:val="0"/>
          <w:numId w:val="28"/>
        </w:numPr>
        <w:jc w:val="both"/>
        <w:rPr>
          <w:bCs/>
        </w:rPr>
      </w:pPr>
      <w:r>
        <w:rPr>
          <w:bCs/>
        </w:rPr>
        <w:t>Ωστόσο, η</w:t>
      </w:r>
      <w:r w:rsidRPr="00297194">
        <w:rPr>
          <w:bCs/>
        </w:rPr>
        <w:t xml:space="preserve"> τιμολογιακή πολιτική των καρτών απεριορίστων διαδρομών δεν μπορεί να καθορίζεται χωρίς να λαμβάνεται υπόψη η τιμή </w:t>
      </w:r>
      <w:r>
        <w:rPr>
          <w:bCs/>
        </w:rPr>
        <w:t xml:space="preserve">του απλού </w:t>
      </w:r>
      <w:r w:rsidRPr="00297194">
        <w:rPr>
          <w:bCs/>
        </w:rPr>
        <w:t>εισιτηρίου που σήμερα είναι 1,2 ευρώ</w:t>
      </w:r>
      <w:r>
        <w:rPr>
          <w:bCs/>
        </w:rPr>
        <w:t xml:space="preserve"> (2,4 για διπλή ημερήσια διαδρομή)</w:t>
      </w:r>
      <w:r w:rsidRPr="00297194">
        <w:rPr>
          <w:bCs/>
        </w:rPr>
        <w:t xml:space="preserve">. </w:t>
      </w:r>
      <w:r>
        <w:rPr>
          <w:bCs/>
        </w:rPr>
        <w:t xml:space="preserve">Είναι εμφανές ότι εάν η μηνιαία </w:t>
      </w:r>
      <w:r>
        <w:rPr>
          <w:bCs/>
        </w:rPr>
        <w:lastRenderedPageBreak/>
        <w:t>κάρτα</w:t>
      </w:r>
      <w:r w:rsidR="00AA4880">
        <w:rPr>
          <w:bCs/>
        </w:rPr>
        <w:t xml:space="preserve"> απεριορίστων διαδρομών</w:t>
      </w:r>
      <w:r>
        <w:rPr>
          <w:bCs/>
        </w:rPr>
        <w:t xml:space="preserve"> μειωθεί σε τόσο χαμηλά επίπεδα (</w:t>
      </w:r>
      <w:r w:rsidR="00AA4880">
        <w:rPr>
          <w:bCs/>
        </w:rPr>
        <w:t xml:space="preserve">από τα 27 στα </w:t>
      </w:r>
      <w:r>
        <w:rPr>
          <w:bCs/>
        </w:rPr>
        <w:t>10 ευρώ</w:t>
      </w:r>
      <w:r w:rsidR="00AA4880">
        <w:rPr>
          <w:bCs/>
        </w:rPr>
        <w:t xml:space="preserve"> που αντιστοιχεί σε μόλις 8 διαδρομές</w:t>
      </w:r>
      <w:r>
        <w:rPr>
          <w:bCs/>
        </w:rPr>
        <w:t>) που είναι εμφανώς κάτω του κόστους</w:t>
      </w:r>
      <w:r w:rsidR="00AA4880">
        <w:rPr>
          <w:bCs/>
        </w:rPr>
        <w:t xml:space="preserve"> δυσανάλογα με το απλό εισιτήριο</w:t>
      </w:r>
      <w:r>
        <w:rPr>
          <w:bCs/>
        </w:rPr>
        <w:t>, οι πολίτες θα στραφούν προς αυτή με σημαντική μείωση των εσόδων των οργανισμών και από τα απλά εισιτήρια.</w:t>
      </w:r>
      <w:r w:rsidR="007D507E">
        <w:rPr>
          <w:bCs/>
        </w:rPr>
        <w:t xml:space="preserve"> </w:t>
      </w:r>
    </w:p>
    <w:p w14:paraId="011985BF" w14:textId="48CA3A45" w:rsidR="007E4DE5" w:rsidRDefault="0093117B" w:rsidP="007954BB">
      <w:pPr>
        <w:pStyle w:val="ListParagraph"/>
        <w:numPr>
          <w:ilvl w:val="0"/>
          <w:numId w:val="28"/>
        </w:numPr>
        <w:jc w:val="both"/>
        <w:rPr>
          <w:bCs/>
        </w:rPr>
      </w:pPr>
      <w:r>
        <w:rPr>
          <w:bCs/>
        </w:rPr>
        <w:t>Σ</w:t>
      </w:r>
      <w:r w:rsidR="00473FF0" w:rsidRPr="00473FF0">
        <w:rPr>
          <w:bCs/>
        </w:rPr>
        <w:t>ημαντική απώλεια εσόδων σημαίνει περιορισμό στ</w:t>
      </w:r>
      <w:r w:rsidR="00473FF0">
        <w:rPr>
          <w:bCs/>
        </w:rPr>
        <w:t>η</w:t>
      </w:r>
      <w:r w:rsidR="00473FF0" w:rsidRPr="00473FF0">
        <w:rPr>
          <w:bCs/>
        </w:rPr>
        <w:t xml:space="preserve"> δυνατότητ</w:t>
      </w:r>
      <w:r w:rsidR="00473FF0">
        <w:rPr>
          <w:bCs/>
        </w:rPr>
        <w:t>α</w:t>
      </w:r>
      <w:r w:rsidR="00473FF0" w:rsidRPr="00473FF0">
        <w:rPr>
          <w:bCs/>
        </w:rPr>
        <w:t xml:space="preserve"> των συγκοινωνιακών φορέων να εκτελέσουν με ασφάλεια το </w:t>
      </w:r>
      <w:r w:rsidR="00473FF0">
        <w:rPr>
          <w:bCs/>
        </w:rPr>
        <w:t>έργο τους, τη στιγμή που ήδη χρηματοδοτούνται με σημαντικά ποσά ετησίως από τον κρατικό προϋπολογισμό</w:t>
      </w:r>
      <w:r w:rsidR="001D1052">
        <w:rPr>
          <w:bCs/>
        </w:rPr>
        <w:t xml:space="preserve"> και θα απαιτηθεί περεταίρω αύξηση της κρατικής χρηματοδότησης</w:t>
      </w:r>
      <w:r w:rsidR="00473FF0">
        <w:rPr>
          <w:bCs/>
        </w:rPr>
        <w:t>.</w:t>
      </w:r>
    </w:p>
    <w:p w14:paraId="061E1864" w14:textId="77777777" w:rsidR="004E1C1E" w:rsidRDefault="004E1C1E" w:rsidP="004E1C1E">
      <w:pPr>
        <w:pStyle w:val="ListParagraph"/>
        <w:jc w:val="both"/>
        <w:rPr>
          <w:bCs/>
        </w:rPr>
      </w:pPr>
    </w:p>
    <w:p w14:paraId="659E8868" w14:textId="31445373" w:rsidR="00826560" w:rsidRDefault="00826560" w:rsidP="00826560">
      <w:pPr>
        <w:jc w:val="both"/>
        <w:rPr>
          <w:b/>
        </w:rPr>
      </w:pPr>
      <w:r>
        <w:rPr>
          <w:b/>
        </w:rPr>
        <w:t>Β</w:t>
      </w:r>
      <w:r w:rsidRPr="00580371">
        <w:rPr>
          <w:b/>
        </w:rPr>
        <w:t xml:space="preserve">. Άρθρα με </w:t>
      </w:r>
      <w:r w:rsidR="00145799">
        <w:rPr>
          <w:b/>
        </w:rPr>
        <w:t>επιβολή έκτακτης εισφοράς</w:t>
      </w:r>
    </w:p>
    <w:p w14:paraId="754AF70A" w14:textId="1C46858B" w:rsidR="00145799" w:rsidRDefault="00DA5C12" w:rsidP="00826560">
      <w:pPr>
        <w:jc w:val="both"/>
        <w:rPr>
          <w:bCs/>
        </w:rPr>
      </w:pPr>
      <w:r>
        <w:rPr>
          <w:bCs/>
        </w:rPr>
        <w:t>Με τ</w:t>
      </w:r>
      <w:r w:rsidR="00FE2FB6">
        <w:rPr>
          <w:bCs/>
        </w:rPr>
        <w:t>η 2</w:t>
      </w:r>
      <w:r w:rsidR="00FE2FB6" w:rsidRPr="00FE2FB6">
        <w:rPr>
          <w:bCs/>
          <w:vertAlign w:val="superscript"/>
        </w:rPr>
        <w:t>η</w:t>
      </w:r>
      <w:r w:rsidR="00FE2FB6">
        <w:rPr>
          <w:bCs/>
        </w:rPr>
        <w:t xml:space="preserve"> παράγραφο του </w:t>
      </w:r>
      <w:r w:rsidR="00FE2FB6" w:rsidRPr="00B363E0">
        <w:rPr>
          <w:b/>
        </w:rPr>
        <w:t>άρθρου 2</w:t>
      </w:r>
      <w:r w:rsidR="00FE2FB6">
        <w:rPr>
          <w:bCs/>
        </w:rPr>
        <w:t xml:space="preserve"> </w:t>
      </w:r>
      <w:r w:rsidR="00835CCB">
        <w:rPr>
          <w:bCs/>
        </w:rPr>
        <w:t xml:space="preserve">με τίτλο «Θέσπιση ανώτατου περιθωρίου μεικτού κέρδους και επέκταση Προσωρινής Συνεισφοράς Αλληλεγγύης στη διύλιση πετρελαίου για το έτος 2023» </w:t>
      </w:r>
      <w:r w:rsidR="00FE2FB6" w:rsidRPr="00B363E0">
        <w:rPr>
          <w:b/>
        </w:rPr>
        <w:t>προτείνεται επέκταση της προσωρινής συνεισφοράς αλληλεγγύης</w:t>
      </w:r>
      <w:r w:rsidR="00B363E0" w:rsidRPr="00B363E0">
        <w:rPr>
          <w:b/>
        </w:rPr>
        <w:t xml:space="preserve"> των εταιριών διύλισης</w:t>
      </w:r>
      <w:r w:rsidR="00FE2FB6">
        <w:rPr>
          <w:bCs/>
        </w:rPr>
        <w:t xml:space="preserve"> που επιβλήθηκε το 2022</w:t>
      </w:r>
      <w:r w:rsidR="00BC4192">
        <w:rPr>
          <w:bCs/>
        </w:rPr>
        <w:t xml:space="preserve"> (που ανήλθε σε ποσοστό 33%)</w:t>
      </w:r>
      <w:r w:rsidR="00FE2FB6">
        <w:rPr>
          <w:bCs/>
        </w:rPr>
        <w:t xml:space="preserve"> και το 2023 με συντελεστή 90% επί των πλεοναζόντων κερδών (τα κέρδη που υπερβαίνουν το 20% των φορολογητέων κερδών της περιόδου 2018-2021). </w:t>
      </w:r>
    </w:p>
    <w:p w14:paraId="2A70D3BA" w14:textId="588CCC92" w:rsidR="00FE2FB6" w:rsidRDefault="007175DB" w:rsidP="00826560">
      <w:pPr>
        <w:jc w:val="both"/>
        <w:rPr>
          <w:bCs/>
        </w:rPr>
      </w:pPr>
      <w:r w:rsidRPr="007175DB">
        <w:rPr>
          <w:bCs/>
        </w:rPr>
        <w:t xml:space="preserve">Ο ίδιος ο ΣΥΡΙΖΑ είχε εκτιμήσει το μέτρο κατά τον μήνα Μάρτιο που παρουσίασε το πρόγραμμά του σε 715 εκατ. ευρώ. </w:t>
      </w:r>
      <w:r w:rsidR="002B5575">
        <w:rPr>
          <w:bCs/>
        </w:rPr>
        <w:t xml:space="preserve">Οι εταιρίες έχουν δημοσιεύσει λογιστικές καταστάσεις ωστόσο για τον υπολογισμό </w:t>
      </w:r>
      <w:r w:rsidR="004A4BB4">
        <w:rPr>
          <w:bCs/>
        </w:rPr>
        <w:t xml:space="preserve">του μέτρου </w:t>
      </w:r>
      <w:r w:rsidR="002B5575">
        <w:rPr>
          <w:bCs/>
        </w:rPr>
        <w:t>απαιτούνται οι φορολογικές δηλώσεις</w:t>
      </w:r>
      <w:r w:rsidR="004A4BB4">
        <w:rPr>
          <w:bCs/>
        </w:rPr>
        <w:t xml:space="preserve"> των οποίων η υποβολή δεν έχει ολοκληρωθεί και</w:t>
      </w:r>
      <w:r w:rsidR="002B5575">
        <w:rPr>
          <w:bCs/>
        </w:rPr>
        <w:t xml:space="preserve"> που παρέχουν επιπλέον στοιχεία για τον υπολογισμό του φόρου εισοδήματος</w:t>
      </w:r>
      <w:r w:rsidR="00A72368">
        <w:rPr>
          <w:bCs/>
        </w:rPr>
        <w:t xml:space="preserve"> (π.χ. </w:t>
      </w:r>
      <w:r w:rsidR="00C4450E">
        <w:rPr>
          <w:bCs/>
        </w:rPr>
        <w:t xml:space="preserve">προσαρμογή λογιστικών και φορολογικών κερδών, προσθήκη μη εκπιπτώμενων δαπανών, αφαίρεση αφορολόγητων και αυτοτελώς φορολογούμενων ποσών  </w:t>
      </w:r>
      <w:r w:rsidR="00A72368">
        <w:rPr>
          <w:bCs/>
        </w:rPr>
        <w:t>κτλ.)</w:t>
      </w:r>
      <w:r w:rsidR="002B5575">
        <w:rPr>
          <w:bCs/>
        </w:rPr>
        <w:t>.</w:t>
      </w:r>
      <w:r w:rsidR="00DE702B">
        <w:rPr>
          <w:bCs/>
        </w:rPr>
        <w:t xml:space="preserve"> </w:t>
      </w:r>
    </w:p>
    <w:p w14:paraId="6E58536F" w14:textId="36EF9DA0" w:rsidR="00DE702B" w:rsidRDefault="00E04EF6" w:rsidP="00826560">
      <w:pPr>
        <w:jc w:val="both"/>
        <w:rPr>
          <w:bCs/>
        </w:rPr>
      </w:pPr>
      <w:r>
        <w:rPr>
          <w:bCs/>
        </w:rPr>
        <w:t xml:space="preserve">Η Κυβέρνηση εφάρμοσε για το έτος 2022 που εμφανίστηκε </w:t>
      </w:r>
      <w:r w:rsidR="00EB0872">
        <w:rPr>
          <w:bCs/>
        </w:rPr>
        <w:t xml:space="preserve">η ενεργειακή κρίση και υπέρμετρα κέρδη στις εταιρίες διύλισης την έκτακτη εισφορά. Το 2022 οι δύο εταιρίες αθροιστικά, σύμφωνα με τις λογιστικές τους καταστάσεις είχαν καθαρά κέρδη χρήσεως προ φόρων 2,526 δισ. ευρώ και σε αυτά επεβλήθη έκτακτη εισφορά 630 εκατ. ευρώ και επιπλέον φόρος εισοδήματος 506 εκατ. ευρώ, εκ των οποίων 214 εκατ. ήταν η προκαταβολή φόρου. Οπότε </w:t>
      </w:r>
      <w:r w:rsidR="00187584">
        <w:rPr>
          <w:bCs/>
        </w:rPr>
        <w:t xml:space="preserve">οι εταιρίες </w:t>
      </w:r>
      <w:r w:rsidR="00EB0872">
        <w:rPr>
          <w:bCs/>
        </w:rPr>
        <w:t xml:space="preserve">απέδωσαν συνολικά στο δημόσιο </w:t>
      </w:r>
      <w:r w:rsidR="00EB0872" w:rsidRPr="001275B8">
        <w:rPr>
          <w:b/>
        </w:rPr>
        <w:t>1,14 δισ. ευρώ</w:t>
      </w:r>
      <w:r w:rsidR="00EB0872">
        <w:rPr>
          <w:bCs/>
        </w:rPr>
        <w:t>.</w:t>
      </w:r>
    </w:p>
    <w:p w14:paraId="0DB5E982" w14:textId="1242E7E1" w:rsidR="00187584" w:rsidRDefault="00EB0872" w:rsidP="00826560">
      <w:pPr>
        <w:jc w:val="both"/>
        <w:rPr>
          <w:bCs/>
        </w:rPr>
      </w:pPr>
      <w:r>
        <w:rPr>
          <w:bCs/>
        </w:rPr>
        <w:t>Το 2023 οι δύο εταιρίες έχουν συνολικά κέρδ</w:t>
      </w:r>
      <w:r w:rsidR="00612367">
        <w:rPr>
          <w:bCs/>
        </w:rPr>
        <w:t>η</w:t>
      </w:r>
      <w:r>
        <w:rPr>
          <w:bCs/>
        </w:rPr>
        <w:t xml:space="preserve"> σύμφωνα με τις λογιστικές τους καταστάσεις 1,613 εκατ. ευρώ</w:t>
      </w:r>
      <w:r w:rsidR="008F468F">
        <w:rPr>
          <w:bCs/>
        </w:rPr>
        <w:t xml:space="preserve"> (36% χαμηλότερα από το 2022)</w:t>
      </w:r>
      <w:r w:rsidR="001275B8">
        <w:t>, ενώ σ</w:t>
      </w:r>
      <w:r w:rsidR="001275B8" w:rsidRPr="001275B8">
        <w:rPr>
          <w:bCs/>
        </w:rPr>
        <w:t>ημειώνεται ότι λιγότερο από το 1/3 των πωλήσεων των δύο εταιριών κατευθύνεται στην εσωτερική αγορά.</w:t>
      </w:r>
      <w:r w:rsidR="001275B8">
        <w:rPr>
          <w:bCs/>
        </w:rPr>
        <w:t xml:space="preserve"> </w:t>
      </w:r>
    </w:p>
    <w:p w14:paraId="0642225F" w14:textId="6CBEAF30" w:rsidR="00187584" w:rsidRDefault="001275B8" w:rsidP="00826560">
      <w:pPr>
        <w:jc w:val="both"/>
        <w:rPr>
          <w:bCs/>
        </w:rPr>
      </w:pPr>
      <w:r>
        <w:rPr>
          <w:bCs/>
        </w:rPr>
        <w:t xml:space="preserve">Είναι αντιληπτό ότι τυχόν επιβολή έκτακτης εισφοράς αυτού το μεγέθους, λαμβάνοντας υπόψη και την προκαταβολή φόρου του προηγούμενου έτους </w:t>
      </w:r>
      <w:r w:rsidR="00E23F4B">
        <w:rPr>
          <w:bCs/>
        </w:rPr>
        <w:t>και τη</w:t>
      </w:r>
      <w:r>
        <w:rPr>
          <w:bCs/>
        </w:rPr>
        <w:t xml:space="preserve"> μείωση των κερδών</w:t>
      </w:r>
      <w:r w:rsidR="00C83E3D">
        <w:rPr>
          <w:bCs/>
        </w:rPr>
        <w:t xml:space="preserve"> το 2023 σε σχέση με το 2022</w:t>
      </w:r>
      <w:r>
        <w:rPr>
          <w:bCs/>
        </w:rPr>
        <w:t xml:space="preserve">, ότι θα οδηγήσει σε επιστροφή από το Δημόσιο προς τις εταιρίες σημαντικών ποσών φόρου εισοδήματος και συνεπώς λιγότερα καθαρά έσοδα για το δημόσιο σε σχέση με το αρχικό ποσό επιβολής της εισφοράς. </w:t>
      </w:r>
    </w:p>
    <w:p w14:paraId="3B97A87F" w14:textId="3CE06AC6" w:rsidR="00C46AC6" w:rsidRDefault="00C46AC6" w:rsidP="00826560">
      <w:pPr>
        <w:jc w:val="both"/>
        <w:rPr>
          <w:bCs/>
        </w:rPr>
      </w:pPr>
      <w:r>
        <w:rPr>
          <w:bCs/>
        </w:rPr>
        <w:t xml:space="preserve">Σε κάθε περίπτωση ακόμη και εάν επιβληθεί έκτακτη εισφορά για το έτος 2023 (με ό,τι σημαίνει </w:t>
      </w:r>
      <w:r w:rsidR="007056E6">
        <w:rPr>
          <w:bCs/>
        </w:rPr>
        <w:t>επί της νομικής αβεβαιότητας</w:t>
      </w:r>
      <w:r>
        <w:rPr>
          <w:bCs/>
        </w:rPr>
        <w:t xml:space="preserve"> η επιβολή εισφοράς το επόμενο έτος αναδρομικά για το προηγούμενο)</w:t>
      </w:r>
      <w:r w:rsidR="007056E6">
        <w:rPr>
          <w:bCs/>
        </w:rPr>
        <w:t xml:space="preserve"> αυτή θα οδηγήσει σε ένα όφελος </w:t>
      </w:r>
      <w:r w:rsidR="0027330B">
        <w:rPr>
          <w:bCs/>
        </w:rPr>
        <w:t>εφάπαξ (</w:t>
      </w:r>
      <w:r w:rsidR="00AC60CE">
        <w:rPr>
          <w:bCs/>
          <w:lang w:val="en-US"/>
        </w:rPr>
        <w:t>o</w:t>
      </w:r>
      <w:r w:rsidR="001D1118">
        <w:rPr>
          <w:bCs/>
          <w:lang w:val="en-US"/>
        </w:rPr>
        <w:t>ne</w:t>
      </w:r>
      <w:r w:rsidR="001D1118" w:rsidRPr="001D1118">
        <w:rPr>
          <w:bCs/>
        </w:rPr>
        <w:t>-</w:t>
      </w:r>
      <w:r w:rsidR="001D1118">
        <w:rPr>
          <w:bCs/>
          <w:lang w:val="en-US"/>
        </w:rPr>
        <w:t>off</w:t>
      </w:r>
      <w:r w:rsidR="0027330B">
        <w:rPr>
          <w:bCs/>
        </w:rPr>
        <w:t>)</w:t>
      </w:r>
      <w:r w:rsidR="001D1118" w:rsidRPr="001D1118">
        <w:rPr>
          <w:bCs/>
        </w:rPr>
        <w:t xml:space="preserve"> </w:t>
      </w:r>
      <w:r w:rsidR="001D1118">
        <w:rPr>
          <w:bCs/>
        </w:rPr>
        <w:t xml:space="preserve">που σε καμία περίπτωση δεν μπορεί να χρηματοδοτήσει μόνιμα μέτρα και μάλιστα αυτού του ύψους που  </w:t>
      </w:r>
      <w:r w:rsidR="0027330B">
        <w:rPr>
          <w:bCs/>
        </w:rPr>
        <w:t>περιλαμβάνονται στο νομοσχέδιο.</w:t>
      </w:r>
    </w:p>
    <w:p w14:paraId="63C25EC1" w14:textId="77777777" w:rsidR="0027330B" w:rsidRDefault="0027330B" w:rsidP="00826560">
      <w:pPr>
        <w:jc w:val="both"/>
        <w:rPr>
          <w:bCs/>
        </w:rPr>
      </w:pPr>
    </w:p>
    <w:p w14:paraId="791218EA" w14:textId="39427159" w:rsidR="00BC4192" w:rsidRDefault="00AC60CE" w:rsidP="00826560">
      <w:pPr>
        <w:jc w:val="both"/>
        <w:rPr>
          <w:bCs/>
        </w:rPr>
      </w:pPr>
      <w:r>
        <w:rPr>
          <w:b/>
        </w:rPr>
        <w:lastRenderedPageBreak/>
        <w:t>Με τ</w:t>
      </w:r>
      <w:r w:rsidR="00835CCB" w:rsidRPr="004963E2">
        <w:rPr>
          <w:b/>
        </w:rPr>
        <w:t>ο άρθρο 4</w:t>
      </w:r>
      <w:r w:rsidR="00835CCB">
        <w:rPr>
          <w:bCs/>
        </w:rPr>
        <w:t xml:space="preserve"> με</w:t>
      </w:r>
      <w:r w:rsidR="00BC4192">
        <w:rPr>
          <w:bCs/>
        </w:rPr>
        <w:t xml:space="preserve"> τίτλο «Επιβολή Έκτακτης Εισφοράς στα πλεονάζοντα κέρδη των Τραπεζών» </w:t>
      </w:r>
      <w:r w:rsidR="00BC4192" w:rsidRPr="00B0442A">
        <w:rPr>
          <w:b/>
        </w:rPr>
        <w:t xml:space="preserve">επιβάλλεται έκτακτη προσωρινή συνεισφορά αλληλεγγύης </w:t>
      </w:r>
      <w:r w:rsidR="004963E2" w:rsidRPr="00B0442A">
        <w:rPr>
          <w:b/>
        </w:rPr>
        <w:t>στα πιστωτικά ιδρύματα</w:t>
      </w:r>
      <w:r w:rsidR="004963E2">
        <w:rPr>
          <w:bCs/>
        </w:rPr>
        <w:t xml:space="preserve"> για το έτος 2023 ίση με 90% επί των πλεοναζόντων κερδών </w:t>
      </w:r>
      <w:r w:rsidR="004963E2" w:rsidRPr="004963E2">
        <w:rPr>
          <w:bCs/>
        </w:rPr>
        <w:t>(τα κέρδη που υπερβαίνουν το 20% των φορολογητέων κερδών της περιόδου 201</w:t>
      </w:r>
      <w:r w:rsidR="004963E2">
        <w:rPr>
          <w:bCs/>
        </w:rPr>
        <w:t>9</w:t>
      </w:r>
      <w:r w:rsidR="004963E2" w:rsidRPr="004963E2">
        <w:rPr>
          <w:bCs/>
        </w:rPr>
        <w:t>-202</w:t>
      </w:r>
      <w:r w:rsidR="004963E2">
        <w:rPr>
          <w:bCs/>
        </w:rPr>
        <w:t>2</w:t>
      </w:r>
      <w:r w:rsidR="004963E2" w:rsidRPr="004963E2">
        <w:rPr>
          <w:bCs/>
        </w:rPr>
        <w:t>)</w:t>
      </w:r>
      <w:r w:rsidR="004963E2">
        <w:rPr>
          <w:bCs/>
        </w:rPr>
        <w:t>.</w:t>
      </w:r>
    </w:p>
    <w:p w14:paraId="6B5FD9B2" w14:textId="09A6944A" w:rsidR="004A4BB4" w:rsidRDefault="00702569" w:rsidP="0041264C">
      <w:pPr>
        <w:jc w:val="both"/>
        <w:rPr>
          <w:bCs/>
        </w:rPr>
      </w:pPr>
      <w:r>
        <w:rPr>
          <w:bCs/>
        </w:rPr>
        <w:t>Ο</w:t>
      </w:r>
      <w:r w:rsidR="0041264C">
        <w:rPr>
          <w:bCs/>
        </w:rPr>
        <w:t xml:space="preserve"> ίδιος ο ΣΥΡΙΖΑ είχε εκτιμήσει το μέτρο κατά τον μήνα Μάρτιο που παρουσίασε το πρόγραμμά του σε 1,6 δισ. ευρώ. </w:t>
      </w:r>
      <w:r w:rsidR="004A4BB4">
        <w:rPr>
          <w:bCs/>
        </w:rPr>
        <w:t xml:space="preserve">Τα πιστωτικά ιδρύματα </w:t>
      </w:r>
      <w:r w:rsidR="004A4BB4" w:rsidRPr="004A4BB4">
        <w:rPr>
          <w:bCs/>
        </w:rPr>
        <w:t>έχουν δημοσιεύσει λογιστικές καταστάσεις ωστόσο για τον υπολογισμό του μέτρου απαιτούνται οι φορολογικές δηλώσεις των οποίων η υποβολή δεν έχει ολοκληρωθεί και που παρέχουν επιπλέον στοιχεία για τον υπολογισμό του φόρου εισοδήματος (π.χ. προσαρμογή λογιστικών και φορολογικών κερδών, προσθήκη μη εκπιπτώμενων δαπανών, αφαίρεση αφορολόγητων και αυτοτελώς φορολογούμενων ποσών  κτλ.)</w:t>
      </w:r>
      <w:r w:rsidR="003A7B2A">
        <w:rPr>
          <w:bCs/>
        </w:rPr>
        <w:t>.</w:t>
      </w:r>
      <w:r w:rsidR="004A4BB4" w:rsidRPr="004A4BB4">
        <w:t xml:space="preserve"> </w:t>
      </w:r>
      <w:r w:rsidR="003A7B2A">
        <w:t>Η</w:t>
      </w:r>
      <w:r w:rsidR="004A4BB4" w:rsidRPr="004A4BB4">
        <w:t xml:space="preserve"> διαφορά των λογιστικών κερδών με τα φορολογητέα κέρδη είναι </w:t>
      </w:r>
      <w:r w:rsidR="004A4BB4">
        <w:t xml:space="preserve">ιδιαίτερα </w:t>
      </w:r>
      <w:r w:rsidR="004A4BB4" w:rsidRPr="004A4BB4">
        <w:t>σημαντική για τα τραπεζικά ιδρύματα καθώς έχουν πλήθος προσαρμογών στις δηλώσεις εισοδήματος.</w:t>
      </w:r>
    </w:p>
    <w:p w14:paraId="1E2D3DD5" w14:textId="377288B5" w:rsidR="00BD59C4" w:rsidRDefault="005E1CA7" w:rsidP="00BD59C4">
      <w:pPr>
        <w:jc w:val="both"/>
        <w:rPr>
          <w:bCs/>
        </w:rPr>
      </w:pPr>
      <w:r>
        <w:rPr>
          <w:bCs/>
        </w:rPr>
        <w:t>Ο</w:t>
      </w:r>
      <w:r w:rsidR="00BD59C4">
        <w:rPr>
          <w:bCs/>
        </w:rPr>
        <w:t>ι Ελληνικές τράπεζες βρίσκονται υπό καθεστώς αναβαλλόμενης φορολογίας (</w:t>
      </w:r>
      <w:r>
        <w:rPr>
          <w:bCs/>
          <w:lang w:val="en-US"/>
        </w:rPr>
        <w:t>DTC</w:t>
      </w:r>
      <w:r w:rsidRPr="005E1CA7">
        <w:rPr>
          <w:bCs/>
        </w:rPr>
        <w:t xml:space="preserve">, </w:t>
      </w:r>
      <w:r w:rsidR="00BD59C4">
        <w:rPr>
          <w:bCs/>
        </w:rPr>
        <w:t xml:space="preserve">το υπολειπόμενο ποσό ανέρχεται σε περίπου 13 δισ. ευρώ), </w:t>
      </w:r>
      <w:r w:rsidR="00B53151">
        <w:rPr>
          <w:bCs/>
        </w:rPr>
        <w:t xml:space="preserve">που αντιστοιχεί σε απαιτήσεις έναντι του δημοσίου που συμψηφίζονται με </w:t>
      </w:r>
      <w:r w:rsidR="00BD59C4" w:rsidRPr="00BD59C4">
        <w:rPr>
          <w:bCs/>
        </w:rPr>
        <w:t>φορολογικές υποχρεώσεις.</w:t>
      </w:r>
      <w:r w:rsidR="00BD59C4">
        <w:rPr>
          <w:bCs/>
        </w:rPr>
        <w:t xml:space="preserve"> Ετησίως αυτό το ποσό μειώνεται με </w:t>
      </w:r>
      <w:r w:rsidR="00C15D16">
        <w:rPr>
          <w:bCs/>
        </w:rPr>
        <w:t>το ποσοστό του</w:t>
      </w:r>
      <w:r w:rsidR="00BD59C4">
        <w:rPr>
          <w:bCs/>
        </w:rPr>
        <w:t xml:space="preserve"> φόρου </w:t>
      </w:r>
      <w:r w:rsidR="00C15D16">
        <w:rPr>
          <w:bCs/>
        </w:rPr>
        <w:t xml:space="preserve">που ανέρχεται σε </w:t>
      </w:r>
      <w:r w:rsidR="00BD59C4">
        <w:rPr>
          <w:bCs/>
        </w:rPr>
        <w:t>29% επί των φορολογητέων κερδών. Είναι αντιληπτό ότι η επιβολή έκτακτης εισφοράς σε αυτό το μέγεθος</w:t>
      </w:r>
      <w:r w:rsidR="00D80FF2" w:rsidRPr="00D80FF2">
        <w:t xml:space="preserve"> </w:t>
      </w:r>
      <w:r w:rsidR="00D80FF2">
        <w:t>(</w:t>
      </w:r>
      <w:r w:rsidR="00D80FF2" w:rsidRPr="00D80FF2">
        <w:rPr>
          <w:bCs/>
        </w:rPr>
        <w:t>με ό,τι σημαίνει επί της νομικής αβεβαιότητας η επιβολή εισφοράς το επόμενο έτος αναδρομικά για το προηγούμενο)</w:t>
      </w:r>
      <w:r w:rsidR="00FC0A0F">
        <w:rPr>
          <w:bCs/>
        </w:rPr>
        <w:t xml:space="preserve"> μειώ</w:t>
      </w:r>
      <w:r w:rsidR="00C15D16">
        <w:rPr>
          <w:bCs/>
        </w:rPr>
        <w:t>νει σημαντικά το ποσό της αναβαλλόμενης φορολογίας, συνεχίζοντας οι τράπεζες να έχουν υψηλότερες απαιτήσεις έναντι του δημοσίου.</w:t>
      </w:r>
    </w:p>
    <w:p w14:paraId="5F6A7A15" w14:textId="4D6FE368" w:rsidR="00954E1F" w:rsidRDefault="00954E1F" w:rsidP="00BD59C4">
      <w:pPr>
        <w:jc w:val="both"/>
        <w:rPr>
          <w:b/>
        </w:rPr>
      </w:pPr>
      <w:r w:rsidRPr="00954E1F">
        <w:rPr>
          <w:b/>
        </w:rPr>
        <w:t>Σε κάθε περίπτωση, σε ό,τι αφορά την φορολόγηση των τραπεζών με έκτακτη εισφορά, παραπέμπουμε στο παράδειγμα της Ιταλίας, που μετά την ανακοίνωση έκτακτης εισφοράς στο τραπεζικό σύστημα, έχασε την αξιοπιστία της στις χρηματαγορές και αναγκάστηκε να λάβει πίσω τα μέτρα που είχαν ανακοινωθεί.</w:t>
      </w:r>
    </w:p>
    <w:p w14:paraId="74F54A4E" w14:textId="77777777" w:rsidR="00954E1F" w:rsidRDefault="00954E1F" w:rsidP="00BD59C4">
      <w:pPr>
        <w:jc w:val="both"/>
        <w:rPr>
          <w:b/>
        </w:rPr>
      </w:pPr>
    </w:p>
    <w:p w14:paraId="4D0A520B" w14:textId="4EF2061E" w:rsidR="00A72368" w:rsidRPr="00644840" w:rsidRDefault="00644840" w:rsidP="00826560">
      <w:pPr>
        <w:jc w:val="both"/>
        <w:rPr>
          <w:b/>
        </w:rPr>
      </w:pPr>
      <w:r w:rsidRPr="00644840">
        <w:rPr>
          <w:b/>
        </w:rPr>
        <w:t>Γ. Άρθρα για περιορισμό της κερδοσκοπίας και έλεγχο των τιμών</w:t>
      </w:r>
    </w:p>
    <w:p w14:paraId="41BDEE8F" w14:textId="448452AE" w:rsidR="00792C69" w:rsidRPr="00792C69" w:rsidRDefault="00B11422" w:rsidP="00792C69">
      <w:pPr>
        <w:jc w:val="both"/>
        <w:rPr>
          <w:bCs/>
        </w:rPr>
      </w:pPr>
      <w:r w:rsidRPr="00B11422">
        <w:rPr>
          <w:bCs/>
        </w:rPr>
        <w:t xml:space="preserve">Με </w:t>
      </w:r>
      <w:r>
        <w:rPr>
          <w:b/>
        </w:rPr>
        <w:t>το 1</w:t>
      </w:r>
      <w:r w:rsidRPr="00B11422">
        <w:rPr>
          <w:b/>
          <w:vertAlign w:val="superscript"/>
        </w:rPr>
        <w:t>ο</w:t>
      </w:r>
      <w:r>
        <w:rPr>
          <w:b/>
        </w:rPr>
        <w:t xml:space="preserve"> άρθρο με τίτλο </w:t>
      </w:r>
      <w:r w:rsidRPr="00B11422">
        <w:rPr>
          <w:b/>
        </w:rPr>
        <w:t xml:space="preserve">“Θέσπιση ανώτατου περιθωρίου μεικτού κέρδους σε τρόφιμα,  βιομηχανικά αγαθά και αγροεφόδια” </w:t>
      </w:r>
      <w:r w:rsidR="00792C69" w:rsidRPr="00792C69">
        <w:rPr>
          <w:bCs/>
        </w:rPr>
        <w:t>θεσπίζεται από το Υπουργείο Ανάπτυξης ανώτατο περιθώριο μεικτού κέρδους σε όλο το μήκος της εφοδιαστικής αλυσίδας στα προϊόντα που εισάγονται ή παράγονται στην Ελλάδα και τα οποία είναι, είτε νωπά/τυποποιημένα τρόφιμα, είτε βιομηχανικά αγαθά (καταναλωτικά και διαρκή). Το μέτρο έχει μόνιμο χαρακτήρα. Για τον σκοπό αυτό εκδίδεται κάθε μήνα Υπουργική Απόφαση από τον Υπουργό Ανάπτυξης που θα καθορίζει ποιο είναι το περιθώριο κέρδους ανά μήνα.</w:t>
      </w:r>
    </w:p>
    <w:p w14:paraId="05F40DDD" w14:textId="2E75AB95" w:rsidR="008D4C22" w:rsidRDefault="00792C69" w:rsidP="00792C69">
      <w:pPr>
        <w:jc w:val="both"/>
        <w:rPr>
          <w:bCs/>
        </w:rPr>
      </w:pPr>
      <w:r w:rsidRPr="00792C69">
        <w:rPr>
          <w:bCs/>
        </w:rPr>
        <w:t>Το όριο αυτό, όπως και η εφαρμογή του λαμβάνει ως αναφερόμενη τιμή εισαγωγής την αντίστοιχη τιμή που δηλώνει η αλλοδαπή παραγωγός εταιρεία, κατά μέσο όρο, στις δέκα φτωχότερες χώρες της Ευρωπαϊκής Ένωσης και για τα εγχωρίως παραγόμενα την μέση τιμή που προκύπτει από την μεσοσταθμική τιμή χονδρικής πώλησης των προϊόντων αυτών κατά την πενταετία που προηγήθηκε της ψήφισης της παρούσας.</w:t>
      </w:r>
    </w:p>
    <w:p w14:paraId="66AA95CF" w14:textId="26975B01" w:rsidR="00792C69" w:rsidRDefault="00792C69" w:rsidP="00792C69">
      <w:pPr>
        <w:jc w:val="both"/>
        <w:rPr>
          <w:bCs/>
        </w:rPr>
      </w:pPr>
      <w:r w:rsidRPr="00792C69">
        <w:rPr>
          <w:bCs/>
        </w:rPr>
        <w:t>Στην περίπτωση των αλυσίδων/καταστημάτων λιανικής πώλησης το περιθώριο κέρδους διαμορφώνεται με βάση το μεσοσταθμικό περιθώριο κέρδους των αντίστοιχων δέκα φτωχότερων χωρών της Ευρωπαϊκής Ένωσης, προσαυξημένο κατά 10% προς κάλυψη των διαφημιστικών και λοιπών προωθητικών δαπανών κάθε επιχείρησης λιανικής.</w:t>
      </w:r>
    </w:p>
    <w:p w14:paraId="6CE7352B" w14:textId="47168A5B" w:rsidR="00792C69" w:rsidRDefault="00792C69" w:rsidP="00792C69">
      <w:pPr>
        <w:jc w:val="both"/>
        <w:rPr>
          <w:bCs/>
        </w:rPr>
      </w:pPr>
      <w:r w:rsidRPr="00792C69">
        <w:rPr>
          <w:bCs/>
        </w:rPr>
        <w:lastRenderedPageBreak/>
        <w:t>Ειδικά για την κατηγορία των νωπών προϊόντων θεσπίζεται ανώτατο περιθώριο κέρδους επί των τιμολογίων αγοράς των προϊόντων από τους παραγωγούς/τυποποιητές της τάξεως του 30%, προσαυξημένο κατά τα αποδεδειγμένα κόστη μεταφοράς και αποθήκευσης προϊόντων έως την πώληση.</w:t>
      </w:r>
      <w:r>
        <w:rPr>
          <w:bCs/>
        </w:rPr>
        <w:t xml:space="preserve"> </w:t>
      </w:r>
      <w:r w:rsidRPr="00792C69">
        <w:rPr>
          <w:bCs/>
        </w:rPr>
        <w:t>Ανάλογο περιθώριο κέρδους, δηλαδή της τάξης του 30% θεσπίζεται επί της αξίας CIF και για τα βιομηχανικά αγαθά</w:t>
      </w:r>
      <w:r>
        <w:rPr>
          <w:bCs/>
        </w:rPr>
        <w:t>.</w:t>
      </w:r>
    </w:p>
    <w:p w14:paraId="26E51DA2" w14:textId="56A2DACC" w:rsidR="00792C69" w:rsidRDefault="00792C69" w:rsidP="00792C69">
      <w:pPr>
        <w:jc w:val="both"/>
        <w:rPr>
          <w:bCs/>
        </w:rPr>
      </w:pPr>
      <w:r>
        <w:rPr>
          <w:bCs/>
        </w:rPr>
        <w:t>Επιπλέον, θ</w:t>
      </w:r>
      <w:r w:rsidRPr="00792C69">
        <w:rPr>
          <w:bCs/>
        </w:rPr>
        <w:t>εσπίζεται ανώτατο περιθώριο μεικτού κέρδους στο μέσο όρο των δέκα φτωχότερων χωρών της Ευρωπαϊκής Ένωσης για τις επιχειρήσεις εισαγωγής/παραγωγής αγροεφοδίων (φυτοφάρμακα, λιπάσματα, σπόροι) και αντίστοιχα το ανώτατο περιθώριο μεικτού κέρδους στις επιχειρήσεις λιανικής πώλησης αγροεφοδίων διαμορφώνεται σε ποσοστό 15% επί του τιμολογίου αγοράς από τον εισαγωγέα/παραγωγό προσαυξημένο κατά 10% για τα κόστη προώθησης των προϊόντων αυτών.</w:t>
      </w:r>
    </w:p>
    <w:p w14:paraId="0E586968" w14:textId="2354A146" w:rsidR="0070231D" w:rsidRDefault="0070231D" w:rsidP="00792C69">
      <w:pPr>
        <w:jc w:val="both"/>
        <w:rPr>
          <w:bCs/>
        </w:rPr>
      </w:pPr>
      <w:r w:rsidRPr="0070231D">
        <w:rPr>
          <w:bCs/>
        </w:rPr>
        <w:t>Για την προστασία της διαδικασίας εφαρμογής των μέτρων θεσπίζεται η κατάργηση κάθε είδους επιβραβεύσεων/εκπτώσεων που παρέχονται από τους εισαγωγείς/παραγωγούς σε μορφή προϊόντων ή πιστωτικού τιμολογίου για τις 66 βασικές κατηγορίες προϊόντων που αναφέρονται στον νόμο 5046/2023 στις συναλλαγές μεταξύ χονδρεμπόρων και λιανεμπόρων για χρονικό διάστημα αντίστοιχο της εφαρμογής κάθε μέτρου.</w:t>
      </w:r>
    </w:p>
    <w:p w14:paraId="7EA0FD3A" w14:textId="3604B8AF" w:rsidR="008E18EB" w:rsidRPr="003925CD" w:rsidRDefault="00B8122B" w:rsidP="00792C69">
      <w:pPr>
        <w:jc w:val="both"/>
        <w:rPr>
          <w:b/>
        </w:rPr>
      </w:pPr>
      <w:r w:rsidRPr="003925CD">
        <w:rPr>
          <w:b/>
        </w:rPr>
        <w:t>Μέτρα που έχει ήδη υ</w:t>
      </w:r>
      <w:r w:rsidR="00D278AD">
        <w:rPr>
          <w:b/>
        </w:rPr>
        <w:t>λοποιήσει</w:t>
      </w:r>
      <w:r w:rsidRPr="003925CD">
        <w:rPr>
          <w:b/>
        </w:rPr>
        <w:t xml:space="preserve"> η Κυβέρνηση</w:t>
      </w:r>
      <w:r w:rsidR="008E18EB" w:rsidRPr="003925CD">
        <w:rPr>
          <w:b/>
        </w:rPr>
        <w:t>:</w:t>
      </w:r>
    </w:p>
    <w:p w14:paraId="4F3B657D" w14:textId="3C4E80BA" w:rsidR="005A57F6" w:rsidRDefault="00C200B3" w:rsidP="0070231D">
      <w:pPr>
        <w:pStyle w:val="ListParagraph"/>
        <w:numPr>
          <w:ilvl w:val="0"/>
          <w:numId w:val="31"/>
        </w:numPr>
        <w:spacing w:line="22" w:lineRule="atLeast"/>
        <w:jc w:val="both"/>
        <w:rPr>
          <w:bCs/>
        </w:rPr>
      </w:pPr>
      <w:r w:rsidRPr="0070231D">
        <w:rPr>
          <w:bCs/>
        </w:rPr>
        <w:t>Η Κυβέρνηση ήδη</w:t>
      </w:r>
      <w:r w:rsidR="00C74C17" w:rsidRPr="0070231D">
        <w:rPr>
          <w:bCs/>
        </w:rPr>
        <w:t xml:space="preserve"> με το άρθρο 54 του νόμου 5045/2023</w:t>
      </w:r>
      <w:r w:rsidR="00C74C17" w:rsidRPr="00C74C17">
        <w:t xml:space="preserve"> </w:t>
      </w:r>
      <w:r w:rsidR="00C74C17">
        <w:t>έχει νομοθετήσει για την π</w:t>
      </w:r>
      <w:r w:rsidR="00C74C17" w:rsidRPr="0070231D">
        <w:rPr>
          <w:bCs/>
        </w:rPr>
        <w:t xml:space="preserve">εριστολή φαινομένων αθέμιτης κερδοφορίας έως την 30ή Ιουνίου 2024, </w:t>
      </w:r>
      <w:r w:rsidR="00C74C17" w:rsidRPr="0070231D">
        <w:rPr>
          <w:b/>
        </w:rPr>
        <w:t>απαγορεύεται η αποκόμιση μικτού κέρδους από την πώληση οποιουδήποτε προϊόντος ή την παροχή οποιασδήποτε υπηρεσίας που είναι απαραίτητη για την υγεία, τη διατροφή, τη διαβίωση, τη μετακίνηση, τη θέρμανση, την παραγωγή ζεστού νερού χρήσεως και την ασφάλεια του καταναλωτή, καθώς και από την πώληση σχολικών ειδών και γεωργικών προϊόντων και τροφίμων, ιδίως πρώτων υλών για την παραγωγή λιπασμάτων, ζωοτροφών, ωμών δημητριακών παντός είδους, αλεύρων, ηλίανθου φυτικών ελαίων, όταν το περιθώριο μικτού κέρδους ανά μονάδα υπερβαίνει το αντίστοιχο περιθώριο μικτού κέρδους ανά μονάδα προ της 31ης Δεκεμβρίου 2021</w:t>
      </w:r>
      <w:r w:rsidR="00C74C17" w:rsidRPr="0070231D">
        <w:rPr>
          <w:bCs/>
        </w:rPr>
        <w:t>.</w:t>
      </w:r>
    </w:p>
    <w:p w14:paraId="1A6AE6C8" w14:textId="77777777" w:rsidR="00B8122B" w:rsidRPr="00B8122B" w:rsidRDefault="00B8122B" w:rsidP="00C92C12">
      <w:pPr>
        <w:pStyle w:val="ListParagraph"/>
        <w:numPr>
          <w:ilvl w:val="0"/>
          <w:numId w:val="31"/>
        </w:numPr>
        <w:jc w:val="both"/>
        <w:rPr>
          <w:bCs/>
        </w:rPr>
      </w:pPr>
      <w:r w:rsidRPr="00B8122B">
        <w:rPr>
          <w:bCs/>
        </w:rPr>
        <w:t>Υποχρέωση των προμηθευτών νωπών προϊόντων να πωλούν τα προϊόντα τους στο λιανεμπόριο σε «καθαρές» τιμές (net – pricing). Επιτρέπονται παροχές (εκπτώσεις, πιστώσεις, κα.), για επιστροφές προϊόντων και φύρα, μόνο στο 3% της τιμής πώλησης προ εκπτώσεων, πιστώσεων και άλλων παροχών. Στη ρύθμιση υπάγονται νωπά φρούτα, λαχανικά και κρέατα.</w:t>
      </w:r>
    </w:p>
    <w:p w14:paraId="7A65123D" w14:textId="77777777" w:rsidR="00B8122B" w:rsidRPr="00B8122B" w:rsidRDefault="00B8122B" w:rsidP="00C92C12">
      <w:pPr>
        <w:pStyle w:val="ListParagraph"/>
        <w:numPr>
          <w:ilvl w:val="0"/>
          <w:numId w:val="31"/>
        </w:numPr>
        <w:jc w:val="both"/>
        <w:rPr>
          <w:bCs/>
        </w:rPr>
      </w:pPr>
      <w:r w:rsidRPr="00B8122B">
        <w:rPr>
          <w:bCs/>
        </w:rPr>
        <w:t xml:space="preserve">Μείωση παροχών προς τα Super Market: Υποχρέωση των προμηθευτών να μειώσουν κατά 30% τις παροχές που έχουν δώσει το 2023 στις εταιρείες λιανεμπορίου, με την υποχρέωση να μειώσουν ισόποσα τις αρχικές τιμές προμήθειας. Στη ρύθμιση υπάγονται γενικά καθαριστικά προϊόντα (απορρυπαντικά ρούχων, απορρυπαντικά πιάτων, καθαριστικά παντός είδους) και προϊόντα προσωπικής υγιεινής (σαμπουάν, αφρόλουτρα και conditioner, σαπούνια, οδοντόκρεμες, βρεφικές και παιδικές πάνες, σερβιέτες). H μεταρρύθμιση έφερε μειώσεις στις αρχικές τιμές προμήθειας σε πάνω από 4.015 βασικά καταναλωτικά προϊόντα, στις οικίες κατηγορίες που εντάσσονται στη ρύθμιση. Οι μειώσεις στις αρχικές τιμές προμήθειας κυμαίνονται μεταξύ 15% με 17%. </w:t>
      </w:r>
    </w:p>
    <w:p w14:paraId="16A72031" w14:textId="77777777" w:rsidR="00B8122B" w:rsidRPr="00B8122B" w:rsidRDefault="00B8122B" w:rsidP="00C92C12">
      <w:pPr>
        <w:pStyle w:val="ListParagraph"/>
        <w:numPr>
          <w:ilvl w:val="0"/>
          <w:numId w:val="31"/>
        </w:numPr>
        <w:spacing w:line="22" w:lineRule="atLeast"/>
        <w:jc w:val="both"/>
        <w:rPr>
          <w:bCs/>
        </w:rPr>
      </w:pPr>
      <w:r w:rsidRPr="00B8122B">
        <w:rPr>
          <w:bCs/>
        </w:rPr>
        <w:t xml:space="preserve">Ορίστηκε πλαφόν στο περιθώριο μικτού κέρδους των εταιρειών που εισάγουν, παράγουν και διακινούν το βρεφικό γάλα στην Ελλάδα. Το πλαφόν ισούται με το λειτουργικό κόστος της επιχείρησης, στην οικεία κατηγορία προϊόντων, </w:t>
      </w:r>
      <w:r w:rsidRPr="00B8122B">
        <w:rPr>
          <w:bCs/>
        </w:rPr>
        <w:lastRenderedPageBreak/>
        <w:t>προσαυξημένο κατά 7% επί των καθαρών πωλήσεων. H μεταρρύθμιση έφερε μειώσεις στις αρχικές τιμές προμήθειας μεσοσταθμικά περίπου στο 15% στα περισσότερα προϊόντα βρεφικού γάλακτος.</w:t>
      </w:r>
    </w:p>
    <w:p w14:paraId="589CDFCE" w14:textId="248AB4CB" w:rsidR="00B8122B" w:rsidRDefault="00B8122B" w:rsidP="00C92C12">
      <w:pPr>
        <w:pStyle w:val="ListParagraph"/>
        <w:numPr>
          <w:ilvl w:val="0"/>
          <w:numId w:val="31"/>
        </w:numPr>
        <w:spacing w:line="22" w:lineRule="atLeast"/>
        <w:jc w:val="both"/>
        <w:rPr>
          <w:bCs/>
        </w:rPr>
      </w:pPr>
      <w:r w:rsidRPr="00B8122B">
        <w:rPr>
          <w:bCs/>
        </w:rPr>
        <w:t>3μηνη απαγόρευση στους προμηθευτές των σούπερ μάρκετ που αυξάνουν τις τιμές των προϊόντων τους να υλοποιούν προωθητικές ενέργειες εντός του καταστήματος για τα προϊόντα αυτά. Στη ρύθμιση υπάγονται σχεδόν το σύνολο των προϊόντων που πωλούνται σε σούπερ μάρκετ, εξαιρουμένων των νωπών προϊόντων (φρούτα, λαχανικά, κρέατα, ψάρια) και ορισμένων διαρκών καταναλωτικών αγαθών (πχ. ρούχα). Κατά το Φεβρουάριο 2024, μετά την εφαρμογή του μέτρου, ανατιμήθηκαν 890 κωδικοί προϊόντων, όταν την ίδια περίοδο πέρυσι (Φεβρουάριος 2023) ανατιμήθηκαν 3.760 κωδικοί προϊόντων. Η εφαρμογή της ρύθμισης φαίνεται να συνεισέφερε στο περιορισμό των ανατιμήσεων κατά 76% από έτος σε έτος.</w:t>
      </w:r>
    </w:p>
    <w:p w14:paraId="1F157B39" w14:textId="77777777" w:rsidR="00B8122B" w:rsidRPr="00B8122B" w:rsidRDefault="00B8122B" w:rsidP="00C92C12">
      <w:pPr>
        <w:pStyle w:val="ListParagraph"/>
        <w:numPr>
          <w:ilvl w:val="0"/>
          <w:numId w:val="31"/>
        </w:numPr>
        <w:spacing w:line="22" w:lineRule="atLeast"/>
        <w:jc w:val="both"/>
        <w:rPr>
          <w:bCs/>
        </w:rPr>
      </w:pPr>
      <w:r w:rsidRPr="00B8122B">
        <w:rPr>
          <w:bCs/>
        </w:rPr>
        <w:t>Πλήρης ενεργοποίηση της ΔΙΜΕΑ: H ΔΙΜΕΑ έχει διενεργήσει περισσότερους από 44 χιλ. ελέγχους το 2023 και τους πρώτους μήνες του 2024, επιβάλλοντάς συνολικά πρόστιμα άνω των €19 εκατ.</w:t>
      </w:r>
    </w:p>
    <w:p w14:paraId="7288C458" w14:textId="1D9DD764" w:rsidR="00B8122B" w:rsidRPr="0070231D" w:rsidRDefault="00B8122B" w:rsidP="00C92C12">
      <w:pPr>
        <w:pStyle w:val="ListParagraph"/>
        <w:numPr>
          <w:ilvl w:val="0"/>
          <w:numId w:val="31"/>
        </w:numPr>
        <w:spacing w:line="22" w:lineRule="atLeast"/>
        <w:jc w:val="both"/>
        <w:rPr>
          <w:bCs/>
        </w:rPr>
      </w:pPr>
      <w:r w:rsidRPr="00B8122B">
        <w:rPr>
          <w:bCs/>
        </w:rPr>
        <w:t>Αναβάθμιση πλατφόρμας e-Καταναλωτής (διαθέσιμη από 29 Απριλίου 2024): Η πλατφόρμα παρέχει στον καταναλωτή τη δυνατότητα διαφανούς σύγκρισης τιμών σε -επί του παρόντος- 3.000 βασικά και ταχυκίνητα καταναλωτικά αγαθά, μέσα σε ελάχιστο χρόνο. Ακολούθως δίνεται η δυνατότητα ανεύρεσης του φθηνότερου καλαθιού με κριτήριο τις τιμές και τη διαθεσιμότητα των προϊόντων. Μέσω του χάρτη που υπάρχει στην πλατφόρμα, ο καταναλωτής έχει την δυνατότητα να ελέγξει όλα τα σούπερ μάρκετ που βρίσκονται πλησίον του τόπου διαμονής του, πριν ξεκινήσει τις αγορές. Με αυτόν τον τρόπο, εκτός από χρήματα, εξοικονομεί και χρόνο. Η διαφάνεια των τιμών ενισχύει τον ανταγωνισμό και δίνει στον καταναλωτή τη δυνατότητα να επιλέξει τις χαμηλότερες τιμές.</w:t>
      </w:r>
    </w:p>
    <w:p w14:paraId="547A2C0E" w14:textId="1BC3C31A" w:rsidR="00C74C17" w:rsidRPr="009E160C" w:rsidRDefault="00B8122B" w:rsidP="00C74C17">
      <w:pPr>
        <w:spacing w:line="22" w:lineRule="atLeast"/>
        <w:jc w:val="both"/>
        <w:rPr>
          <w:bCs/>
        </w:rPr>
      </w:pPr>
      <w:r>
        <w:rPr>
          <w:bCs/>
        </w:rPr>
        <w:t>Επιπλέον σχολιασμός επί των προτεινόμενων ρυθμίσεων</w:t>
      </w:r>
      <w:r w:rsidRPr="00B8122B">
        <w:rPr>
          <w:bCs/>
        </w:rPr>
        <w:t>:</w:t>
      </w:r>
    </w:p>
    <w:p w14:paraId="3B7A73FB" w14:textId="0DB7B642" w:rsidR="00B8122B" w:rsidRDefault="0071040B" w:rsidP="00FE201D">
      <w:pPr>
        <w:pStyle w:val="ListParagraph"/>
        <w:numPr>
          <w:ilvl w:val="0"/>
          <w:numId w:val="32"/>
        </w:numPr>
        <w:spacing w:line="22" w:lineRule="atLeast"/>
        <w:jc w:val="both"/>
        <w:rPr>
          <w:bCs/>
        </w:rPr>
      </w:pPr>
      <w:r>
        <w:rPr>
          <w:bCs/>
        </w:rPr>
        <w:t xml:space="preserve">Ο ΣΥΡΙΖΑ προτείνει ένα </w:t>
      </w:r>
      <w:r w:rsidRPr="0071040B">
        <w:rPr>
          <w:b/>
        </w:rPr>
        <w:t>μόνιμο μέτρο</w:t>
      </w:r>
      <w:r>
        <w:rPr>
          <w:bCs/>
        </w:rPr>
        <w:t xml:space="preserve"> θέσπισης ανώτατου περιθωρίου μεικτού κέρδους, κάτι που είναι </w:t>
      </w:r>
      <w:r w:rsidRPr="0071040B">
        <w:rPr>
          <w:bCs/>
        </w:rPr>
        <w:t>εξαιρετικά αμφίβολο αν συνάδ</w:t>
      </w:r>
      <w:r>
        <w:rPr>
          <w:bCs/>
        </w:rPr>
        <w:t>ει</w:t>
      </w:r>
      <w:r w:rsidRPr="0071040B">
        <w:rPr>
          <w:bCs/>
        </w:rPr>
        <w:t xml:space="preserve"> με </w:t>
      </w:r>
      <w:r w:rsidR="0018474F">
        <w:rPr>
          <w:bCs/>
        </w:rPr>
        <w:t>την κοινοτική νομοθεσία</w:t>
      </w:r>
      <w:r>
        <w:rPr>
          <w:bCs/>
        </w:rPr>
        <w:t xml:space="preserve">, ενώ το περιθώριο κέρδος διαμορφώνεται με βάση το </w:t>
      </w:r>
      <w:r w:rsidRPr="00BB7BF2">
        <w:rPr>
          <w:b/>
        </w:rPr>
        <w:t>μεσοσταθμικό περιθώριο κέρδους των αντίστοιχα δέκα φτωχότερων χωρών της Ευρώπης, μέγεθος που είναι πρακτικά σχεδόν αδύνατο να διασταυρωθεί</w:t>
      </w:r>
      <w:r>
        <w:rPr>
          <w:bCs/>
        </w:rPr>
        <w:t xml:space="preserve">. </w:t>
      </w:r>
      <w:r w:rsidR="00BB7BF2">
        <w:rPr>
          <w:bCs/>
        </w:rPr>
        <w:t xml:space="preserve">Αντίθετα η Ελληνική Κυβέρνηση έχει ορίσει  </w:t>
      </w:r>
      <w:r w:rsidR="00BB7BF2" w:rsidRPr="00BB7BF2">
        <w:rPr>
          <w:bCs/>
        </w:rPr>
        <w:t xml:space="preserve">το περιθώριο μικτού κέρδους ανά μονάδα </w:t>
      </w:r>
      <w:r w:rsidR="00BB7BF2">
        <w:rPr>
          <w:bCs/>
        </w:rPr>
        <w:t xml:space="preserve">να μην </w:t>
      </w:r>
      <w:r w:rsidR="00BB7BF2" w:rsidRPr="00BB7BF2">
        <w:rPr>
          <w:bCs/>
        </w:rPr>
        <w:t>υπερβαίνει το αντίστοιχο περιθώριο μικτού κέρδους ανά μονάδα προ της 31ης Δεκεμβρίου 2021</w:t>
      </w:r>
      <w:r w:rsidR="00BB7BF2">
        <w:rPr>
          <w:bCs/>
        </w:rPr>
        <w:t>, μέγεθος που είναι παρατηρήσιμο.</w:t>
      </w:r>
    </w:p>
    <w:p w14:paraId="720F9E3A" w14:textId="2A88CF82" w:rsidR="00BB7BF2" w:rsidRDefault="00907FE3" w:rsidP="00CE512E">
      <w:pPr>
        <w:pStyle w:val="ListParagraph"/>
        <w:numPr>
          <w:ilvl w:val="0"/>
          <w:numId w:val="32"/>
        </w:numPr>
        <w:spacing w:line="22" w:lineRule="atLeast"/>
        <w:jc w:val="both"/>
        <w:rPr>
          <w:bCs/>
        </w:rPr>
      </w:pPr>
      <w:r>
        <w:rPr>
          <w:bCs/>
        </w:rPr>
        <w:t xml:space="preserve">Η θέσπιση μόνιμου πλαφόν κερδών σε όλο το μήκος της εφοδιαστικής αλυσίδας στα προϊόντα που εισάγονται ή παράγονται στην Ελλάδα δημιουργεί </w:t>
      </w:r>
      <w:r w:rsidR="00CE512E" w:rsidRPr="00CE512E">
        <w:rPr>
          <w:b/>
        </w:rPr>
        <w:t>σ</w:t>
      </w:r>
      <w:r w:rsidRPr="00CE512E">
        <w:rPr>
          <w:b/>
        </w:rPr>
        <w:t xml:space="preserve">οβαρό κίνδυνο από-επένδυσης </w:t>
      </w:r>
      <w:r>
        <w:rPr>
          <w:bCs/>
        </w:rPr>
        <w:t>και αποτρεπτικό παράγοντα για οποιαδήποτε νέα επένδυση στην Ελληνική αγορά</w:t>
      </w:r>
      <w:r w:rsidR="00CE512E">
        <w:rPr>
          <w:bCs/>
        </w:rPr>
        <w:t xml:space="preserve">. Επιπλέον αποτελεί </w:t>
      </w:r>
      <w:r w:rsidR="00CE512E" w:rsidRPr="00CE512E">
        <w:rPr>
          <w:b/>
        </w:rPr>
        <w:t>κίνδυνο ελλείψεως βασικών αγαθών</w:t>
      </w:r>
      <w:r w:rsidR="00CE512E" w:rsidRPr="00CE512E">
        <w:rPr>
          <w:bCs/>
        </w:rPr>
        <w:t xml:space="preserve"> </w:t>
      </w:r>
      <w:r w:rsidR="00CE512E">
        <w:rPr>
          <w:bCs/>
        </w:rPr>
        <w:t>καθώς οι επιχειρήσεις του εξωτερικού δεν υποχρεούνται να πωλήσουν τα προϊόντα τους στην Ελλάδα, πωλώ δε μάλλον αν βρίσκουν καλύτερες τιμές στο εξωτερικό.</w:t>
      </w:r>
    </w:p>
    <w:p w14:paraId="01FF44E6" w14:textId="77777777" w:rsidR="00BB7BF2" w:rsidRDefault="00BB7BF2" w:rsidP="003925CD">
      <w:pPr>
        <w:pStyle w:val="ListParagraph"/>
        <w:spacing w:line="22" w:lineRule="atLeast"/>
        <w:jc w:val="both"/>
        <w:rPr>
          <w:bCs/>
        </w:rPr>
      </w:pPr>
    </w:p>
    <w:p w14:paraId="39B688D5" w14:textId="5D4AF58A" w:rsidR="003925CD" w:rsidRDefault="000919B6" w:rsidP="00F74ACF">
      <w:pPr>
        <w:spacing w:line="22" w:lineRule="atLeast"/>
        <w:jc w:val="both"/>
        <w:rPr>
          <w:b/>
        </w:rPr>
      </w:pPr>
      <w:r>
        <w:rPr>
          <w:bCs/>
        </w:rPr>
        <w:t xml:space="preserve">Με την πρώτη παράγραφο </w:t>
      </w:r>
      <w:r w:rsidRPr="001A7AE3">
        <w:rPr>
          <w:b/>
        </w:rPr>
        <w:t>του άρθρου 2</w:t>
      </w:r>
      <w:r>
        <w:rPr>
          <w:bCs/>
        </w:rPr>
        <w:t xml:space="preserve"> </w:t>
      </w:r>
      <w:r w:rsidR="001A7AE3">
        <w:rPr>
          <w:bCs/>
        </w:rPr>
        <w:t>με τίτλο «</w:t>
      </w:r>
      <w:r w:rsidR="001A7AE3" w:rsidRPr="001A7AE3">
        <w:rPr>
          <w:bCs/>
        </w:rPr>
        <w:t>Επιβολή ανώτατου περιθωρίου κέρδους και επέκταση Προσωρινής Συνεισφοράς Αλληλεγγύης στα διύλιση πετρελαίου για το έτος 2023</w:t>
      </w:r>
      <w:r w:rsidR="001A7AE3">
        <w:rPr>
          <w:bCs/>
        </w:rPr>
        <w:t>»</w:t>
      </w:r>
      <w:r w:rsidR="00F74ACF">
        <w:rPr>
          <w:bCs/>
        </w:rPr>
        <w:t xml:space="preserve"> </w:t>
      </w:r>
      <w:r w:rsidR="00F74ACF" w:rsidRPr="00F74ACF">
        <w:rPr>
          <w:b/>
        </w:rPr>
        <w:t>θεσπίζεται ανώτατο περιθώριο μεικτού κέρδους στην διύλιση πετρελαίου και την παραγωγή προϊόντων διύλισης αυτού στο ύψος του μέσου όρου των αντίστοιχων αποδεδειγμένων περιθωρίων κέρδους της Ε.Ε. αναπροσαρμοζόμενων ανά μήνα</w:t>
      </w:r>
      <w:r w:rsidR="00F74ACF" w:rsidRPr="00F74ACF">
        <w:rPr>
          <w:bCs/>
        </w:rPr>
        <w:t xml:space="preserve">. Το μέτρο έχει έκτακτο χαρακτήρα και διαρκεί για ένα έτος. </w:t>
      </w:r>
      <w:r w:rsidR="00F74ACF" w:rsidRPr="00F74ACF">
        <w:rPr>
          <w:b/>
        </w:rPr>
        <w:t>Σε περίπτωση μη συμμόρφωσης των εταιριών, επιβάλλεται αποκλεισμός της εταιρείας από τα εθνικά και ευρωπαϊκά χρηματοδοτικά εργαλεία.</w:t>
      </w:r>
    </w:p>
    <w:p w14:paraId="509E8B0D" w14:textId="0C3C13D3" w:rsidR="00C866C0" w:rsidRPr="00C866C0" w:rsidRDefault="00C866C0" w:rsidP="00E62384">
      <w:pPr>
        <w:pStyle w:val="ListParagraph"/>
        <w:numPr>
          <w:ilvl w:val="0"/>
          <w:numId w:val="34"/>
        </w:numPr>
        <w:jc w:val="both"/>
        <w:rPr>
          <w:bCs/>
        </w:rPr>
      </w:pPr>
      <w:r w:rsidRPr="00C866C0">
        <w:rPr>
          <w:bCs/>
        </w:rPr>
        <w:lastRenderedPageBreak/>
        <w:t xml:space="preserve">Τα διυλιστήρια πωλούν με </w:t>
      </w:r>
      <w:r w:rsidR="00182C57">
        <w:rPr>
          <w:bCs/>
        </w:rPr>
        <w:t>τιμές που διαμορφώνονται</w:t>
      </w:r>
      <w:r w:rsidR="00FA2281">
        <w:rPr>
          <w:bCs/>
        </w:rPr>
        <w:t xml:space="preserve"> καθημερινά</w:t>
      </w:r>
      <w:r w:rsidR="00182C57">
        <w:rPr>
          <w:bCs/>
        </w:rPr>
        <w:t xml:space="preserve"> επί</w:t>
      </w:r>
      <w:r w:rsidRPr="00C866C0">
        <w:rPr>
          <w:bCs/>
        </w:rPr>
        <w:t xml:space="preserve"> </w:t>
      </w:r>
      <w:r w:rsidR="005D443D">
        <w:rPr>
          <w:bCs/>
        </w:rPr>
        <w:t>της χρηματιστηριακής</w:t>
      </w:r>
      <w:r w:rsidR="00335346">
        <w:rPr>
          <w:bCs/>
        </w:rPr>
        <w:t xml:space="preserve"> </w:t>
      </w:r>
      <w:r w:rsidRPr="00C866C0">
        <w:rPr>
          <w:bCs/>
        </w:rPr>
        <w:t>τιμή</w:t>
      </w:r>
      <w:r w:rsidR="00182C57">
        <w:rPr>
          <w:bCs/>
        </w:rPr>
        <w:t>ς</w:t>
      </w:r>
      <w:r w:rsidRPr="00C866C0">
        <w:rPr>
          <w:bCs/>
        </w:rPr>
        <w:t xml:space="preserve"> Platts Μεσογείου που είναι κοινή για όλες τις χώρες της περιοχής και το μεγαλύτερο ποσοστό του τζίρου τους προέρχεται από εξαγωγές που εκ των πραγμάτων </w:t>
      </w:r>
      <w:r w:rsidRPr="00000991">
        <w:rPr>
          <w:b/>
        </w:rPr>
        <w:t>οι τιμές διάθεσης είναι ανταγωνιστικές</w:t>
      </w:r>
      <w:r w:rsidR="00B12901" w:rsidRPr="00000991">
        <w:rPr>
          <w:b/>
        </w:rPr>
        <w:t xml:space="preserve"> και διαμορφώνονται με βάση τα διεθνή χρηματιστήρια</w:t>
      </w:r>
      <w:r w:rsidRPr="00C866C0">
        <w:rPr>
          <w:bCs/>
        </w:rPr>
        <w:t>. Συνεπώς το μέτρο δεν αναμένεται να έχει πρακτικό αποτέλεσμα.</w:t>
      </w:r>
    </w:p>
    <w:p w14:paraId="45F98A7A" w14:textId="572AFD52" w:rsidR="00B12901" w:rsidRPr="00B12901" w:rsidRDefault="00B12901" w:rsidP="00E62384">
      <w:pPr>
        <w:pStyle w:val="ListParagraph"/>
        <w:numPr>
          <w:ilvl w:val="0"/>
          <w:numId w:val="34"/>
        </w:numPr>
        <w:jc w:val="both"/>
        <w:rPr>
          <w:bCs/>
        </w:rPr>
      </w:pPr>
      <w:r w:rsidRPr="007D61E7">
        <w:rPr>
          <w:b/>
        </w:rPr>
        <w:t>Τα περιθώρια μεικτού κέρδους της Ε.Ε. και μάλιστα αναπροσαρμοζόμενα ανά μήνα δεν είναι παρατηρήσιμα</w:t>
      </w:r>
      <w:r>
        <w:rPr>
          <w:bCs/>
        </w:rPr>
        <w:t>, αλλά δεδομένων των ανταγωνιστικών τιμών πώλησης δεν στοιχειοθετείται ότι τα Ελληνικά διυλιστήρια έχουν υψηλότερα κέρδη από τον μέσο όρο της Ε.Ε.</w:t>
      </w:r>
    </w:p>
    <w:p w14:paraId="62604A55" w14:textId="3519DC98" w:rsidR="00FD719F" w:rsidRPr="00394665" w:rsidRDefault="00394665" w:rsidP="00E62384">
      <w:pPr>
        <w:pStyle w:val="ListParagraph"/>
        <w:numPr>
          <w:ilvl w:val="0"/>
          <w:numId w:val="34"/>
        </w:numPr>
        <w:spacing w:line="22" w:lineRule="atLeast"/>
        <w:jc w:val="both"/>
        <w:rPr>
          <w:bCs/>
        </w:rPr>
      </w:pPr>
      <w:r w:rsidRPr="00394665">
        <w:rPr>
          <w:bCs/>
        </w:rPr>
        <w:t>Ο αποκλεισμός από Ευρωπαϊκά χρηματοδοτικά εργαλεία</w:t>
      </w:r>
      <w:r>
        <w:rPr>
          <w:bCs/>
        </w:rPr>
        <w:t xml:space="preserve"> </w:t>
      </w:r>
      <w:r w:rsidRPr="00394665">
        <w:rPr>
          <w:bCs/>
        </w:rPr>
        <w:t>ομίλων</w:t>
      </w:r>
      <w:r>
        <w:rPr>
          <w:bCs/>
        </w:rPr>
        <w:t xml:space="preserve"> που έχουν θυγατρικές σε πολλές χώρες του εξωτερικού είναι ανεφάρμοστος.</w:t>
      </w:r>
    </w:p>
    <w:p w14:paraId="4E3C40DF" w14:textId="77777777" w:rsidR="00C200B3" w:rsidRDefault="00C200B3" w:rsidP="00C200B3">
      <w:pPr>
        <w:spacing w:line="22" w:lineRule="atLeast"/>
        <w:jc w:val="both"/>
        <w:rPr>
          <w:bCs/>
        </w:rPr>
      </w:pPr>
    </w:p>
    <w:p w14:paraId="77262054" w14:textId="240762DB" w:rsidR="00B71E34" w:rsidRDefault="000C3A92" w:rsidP="000C3A92">
      <w:pPr>
        <w:spacing w:line="22" w:lineRule="atLeast"/>
        <w:jc w:val="both"/>
        <w:rPr>
          <w:b/>
        </w:rPr>
      </w:pPr>
      <w:r>
        <w:rPr>
          <w:bCs/>
        </w:rPr>
        <w:t xml:space="preserve">Με το </w:t>
      </w:r>
      <w:r w:rsidRPr="00CE2215">
        <w:rPr>
          <w:b/>
        </w:rPr>
        <w:t>άρθρο 3</w:t>
      </w:r>
      <w:r>
        <w:rPr>
          <w:bCs/>
        </w:rPr>
        <w:t xml:space="preserve"> με τίτλο «</w:t>
      </w:r>
      <w:r w:rsidRPr="000C3A92">
        <w:rPr>
          <w:bCs/>
        </w:rPr>
        <w:t>Μηχανισμός παρακολούθησης και αποτροπής υπερκερδών</w:t>
      </w:r>
      <w:r>
        <w:rPr>
          <w:bCs/>
        </w:rPr>
        <w:t xml:space="preserve"> </w:t>
      </w:r>
      <w:r w:rsidRPr="000C3A92">
        <w:rPr>
          <w:bCs/>
        </w:rPr>
        <w:t>στις αγορές ηλεκτρικής ενέργειας</w:t>
      </w:r>
      <w:r>
        <w:rPr>
          <w:bCs/>
        </w:rPr>
        <w:t>»</w:t>
      </w:r>
      <w:r w:rsidR="00CE2215">
        <w:rPr>
          <w:bCs/>
        </w:rPr>
        <w:t xml:space="preserve"> </w:t>
      </w:r>
      <w:r w:rsidR="00CE2215" w:rsidRPr="00CE2215">
        <w:rPr>
          <w:b/>
        </w:rPr>
        <w:t>θεσπίζεται εσωτερικός μηχανισμός παρακολούθησης και αποτροπής υπερκερδών στις αγορές ηλεκτρικής ενέργειας.</w:t>
      </w:r>
    </w:p>
    <w:p w14:paraId="193BD9C5" w14:textId="5533FA21" w:rsidR="00CE2215" w:rsidRDefault="005A714D" w:rsidP="000C3A92">
      <w:pPr>
        <w:spacing w:line="22" w:lineRule="atLeast"/>
        <w:jc w:val="both"/>
        <w:rPr>
          <w:bCs/>
        </w:rPr>
      </w:pPr>
      <w:r w:rsidRPr="005A714D">
        <w:rPr>
          <w:bCs/>
        </w:rPr>
        <w:t>Για κάθε προσφορά από μονάδα παραγωγής ηλεκτρικής ενέργειας, ελέγχεται εάν αυτή υπερβαίνει τη διοικητικά καθοριζόμενη τιμή προσφορών, όπως αυτή καθορίζεται από Κοινή Υπουργική Απόφαση. Εφόσον η εν λόγω προσφορά υπερβαίνει το παραπάνω όριο, τότε πραγματοποιείται ενδελεχής δευτερογενής έλεγχος από τη Ρυθμιστική Αρχή Αποβλήτων, Ενέργειας και Υδάτων.</w:t>
      </w:r>
      <w:r w:rsidRPr="005A714D">
        <w:t xml:space="preserve"> </w:t>
      </w:r>
      <w:r w:rsidRPr="005A714D">
        <w:rPr>
          <w:bCs/>
        </w:rPr>
        <w:t>Τα αποτελέσματα του ελέγχου κοινοποιούνται στον αρμόδιο Υπουργό Περιβάλλοντος και Ενέργειας και στην Επιτροπή Ανταγωνισμού, και η Ρυθμιστική Αρχή Αποβλήτων, Ενέργειας και Υδάτων εισηγείται διοικητικές κυρώσεις και νομοθετικές ρυθμίσεις για την επιστροφή τυχόν υπερκερδών.</w:t>
      </w:r>
    </w:p>
    <w:p w14:paraId="65202352" w14:textId="50E14DED" w:rsidR="009C1939" w:rsidRPr="001C5C54" w:rsidRDefault="009C1939" w:rsidP="009C1939">
      <w:pPr>
        <w:pStyle w:val="NormalWeb"/>
        <w:numPr>
          <w:ilvl w:val="0"/>
          <w:numId w:val="36"/>
        </w:numPr>
        <w:shd w:val="clear" w:color="auto" w:fill="FFFFFF"/>
        <w:spacing w:before="0" w:beforeAutospacing="0" w:after="160" w:afterAutospacing="0" w:line="22" w:lineRule="atLeast"/>
        <w:jc w:val="both"/>
        <w:rPr>
          <w:rFonts w:asciiTheme="minorHAnsi" w:hAnsiTheme="minorHAnsi" w:cstheme="minorHAnsi"/>
          <w:sz w:val="22"/>
          <w:szCs w:val="22"/>
          <w:lang w:val="el-GR"/>
        </w:rPr>
      </w:pPr>
      <w:bookmarkStart w:id="3" w:name="_Hlk161250215"/>
      <w:r w:rsidRPr="001C5C54">
        <w:rPr>
          <w:rFonts w:asciiTheme="minorHAnsi" w:hAnsiTheme="minorHAnsi" w:cstheme="minorHAnsi"/>
          <w:sz w:val="22"/>
          <w:szCs w:val="22"/>
          <w:lang w:val="el-GR"/>
        </w:rPr>
        <w:t>Το Ευρωπαϊκό πλαίσιο που θεσπίστηκε προσωρινά για την Ουκρανική και κατά συνέπεια ενεργειακή κρίση, επέτρεψε στη χώρα μας και κατόπιν έγκρισης της Επιτροπής στη βάση προσωρινού και έκτακτου χαρακτήρα του μέτρου, τη λειτουργία του μηχανισμού αυτόματης παρακράτησης κερδών στις εταιρίες ενέργειας έως και τον Δεκέμβριο του 2023</w:t>
      </w:r>
      <w:r w:rsidR="001C5C54" w:rsidRPr="001C5C54">
        <w:rPr>
          <w:rFonts w:asciiTheme="minorHAnsi" w:hAnsiTheme="minorHAnsi" w:cstheme="minorHAnsi"/>
          <w:sz w:val="22"/>
          <w:szCs w:val="22"/>
          <w:lang w:val="el-GR"/>
        </w:rPr>
        <w:t xml:space="preserve"> (από τον οποίον παρακρατήθηκαν υπερκέρδη της τάξης των 5 δισ. ευρώ κατά τη διάρκεια της κρίσης)</w:t>
      </w:r>
      <w:r w:rsidRPr="001C5C54">
        <w:rPr>
          <w:rFonts w:asciiTheme="minorHAnsi" w:hAnsiTheme="minorHAnsi" w:cstheme="minorHAnsi"/>
          <w:sz w:val="22"/>
          <w:szCs w:val="22"/>
          <w:lang w:val="el-GR"/>
        </w:rPr>
        <w:t xml:space="preserve">, ενώ κατόπιν οι τιμές ηλεκτρικής ενέργειας έχουν επιστρέψει σε πολύ χαμηλότερα επίπεδα προσεγγίζοντας τις τιμές πριν την κρίση. </w:t>
      </w:r>
    </w:p>
    <w:p w14:paraId="236A4F02" w14:textId="607434F2" w:rsidR="009C1939" w:rsidRPr="001C5C54" w:rsidRDefault="009C1939" w:rsidP="009C1939">
      <w:pPr>
        <w:pStyle w:val="NormalWeb"/>
        <w:numPr>
          <w:ilvl w:val="0"/>
          <w:numId w:val="36"/>
        </w:numPr>
        <w:shd w:val="clear" w:color="auto" w:fill="FFFFFF"/>
        <w:spacing w:before="0" w:beforeAutospacing="0" w:after="160" w:afterAutospacing="0" w:line="22" w:lineRule="atLeast"/>
        <w:jc w:val="both"/>
        <w:rPr>
          <w:rFonts w:asciiTheme="minorHAnsi" w:hAnsiTheme="minorHAnsi" w:cstheme="minorHAnsi"/>
          <w:sz w:val="22"/>
          <w:szCs w:val="22"/>
          <w:lang w:val="el-GR"/>
        </w:rPr>
      </w:pPr>
      <w:r w:rsidRPr="001C5C54">
        <w:rPr>
          <w:rFonts w:asciiTheme="minorHAnsi" w:hAnsiTheme="minorHAnsi" w:cstheme="minorHAnsi"/>
          <w:sz w:val="22"/>
          <w:szCs w:val="22"/>
          <w:lang w:val="el-GR"/>
        </w:rPr>
        <w:t xml:space="preserve">Οποιαδήποτε μονιμοποίηση μηχανισμού παρακράτησης κερδών ή ανώτατου πλαφόν κέρδους είναι εξαιρετικά αμφίβολο αν συνάδει με τους Ευρωπαϊκούς κανόνες, ενώ πλέον δεν αναμένεται να έχει ουσιαστική επίδραση στις τιμές, με δεδομένο τα επίπεδα που αυτές έχουν διαμορφωθεί. Αντίθετα είναι εξαιρετικά πιθανό να οδηγήσει σε από-επένδυση στον κλάδο ενέργειας και μείωση του ανταγωνισμού εις βάρους του καταναλωτή.  </w:t>
      </w:r>
      <w:bookmarkEnd w:id="3"/>
    </w:p>
    <w:p w14:paraId="747439AA" w14:textId="3584FCC1" w:rsidR="001C5C54" w:rsidRPr="001C5C54" w:rsidRDefault="001C5C54" w:rsidP="009C1939">
      <w:pPr>
        <w:pStyle w:val="NormalWeb"/>
        <w:numPr>
          <w:ilvl w:val="0"/>
          <w:numId w:val="36"/>
        </w:numPr>
        <w:shd w:val="clear" w:color="auto" w:fill="FFFFFF"/>
        <w:spacing w:before="0" w:beforeAutospacing="0" w:after="160" w:afterAutospacing="0" w:line="22" w:lineRule="atLeast"/>
        <w:jc w:val="both"/>
        <w:rPr>
          <w:rFonts w:asciiTheme="minorHAnsi" w:hAnsiTheme="minorHAnsi" w:cstheme="minorHAnsi"/>
          <w:sz w:val="22"/>
          <w:szCs w:val="22"/>
          <w:lang w:val="el-GR"/>
        </w:rPr>
      </w:pPr>
      <w:r w:rsidRPr="001C5C54">
        <w:rPr>
          <w:rFonts w:asciiTheme="minorHAnsi" w:hAnsiTheme="minorHAnsi" w:cstheme="minorHAnsi"/>
          <w:sz w:val="22"/>
          <w:szCs w:val="22"/>
          <w:lang w:val="el-GR"/>
        </w:rPr>
        <w:t xml:space="preserve">Σε κάθε περίπτωση το νέο ανταγωνιστικό πλαίσιο τιμολογίων, η σημαντική διασπορά των εταιριών που έχει παρατηρηθεί τα τελευταία έτη, αλλά και η συστηματική </w:t>
      </w:r>
      <w:r>
        <w:rPr>
          <w:rFonts w:asciiTheme="minorHAnsi" w:hAnsiTheme="minorHAnsi" w:cstheme="minorHAnsi"/>
          <w:sz w:val="22"/>
          <w:szCs w:val="22"/>
          <w:lang w:val="el-GR"/>
        </w:rPr>
        <w:t>παρακολούθηση</w:t>
      </w:r>
      <w:r w:rsidRPr="001C5C54">
        <w:rPr>
          <w:rFonts w:asciiTheme="minorHAnsi" w:hAnsiTheme="minorHAnsi" w:cstheme="minorHAnsi"/>
          <w:sz w:val="22"/>
          <w:szCs w:val="22"/>
          <w:lang w:val="el-GR"/>
        </w:rPr>
        <w:t xml:space="preserve"> της αγοράς που ήδη διενεργείται από τη </w:t>
      </w:r>
      <w:r>
        <w:rPr>
          <w:rFonts w:asciiTheme="minorHAnsi" w:hAnsiTheme="minorHAnsi" w:cstheme="minorHAnsi"/>
          <w:sz w:val="22"/>
          <w:szCs w:val="22"/>
          <w:lang w:val="el-GR"/>
        </w:rPr>
        <w:t>ΡΑΑΕΥ (</w:t>
      </w:r>
      <w:hyperlink r:id="rId8" w:history="1">
        <w:r w:rsidRPr="005F2947">
          <w:rPr>
            <w:rStyle w:val="Hyperlink"/>
            <w:rFonts w:asciiTheme="minorHAnsi" w:hAnsiTheme="minorHAnsi" w:cstheme="minorHAnsi"/>
            <w:sz w:val="22"/>
            <w:szCs w:val="22"/>
            <w:lang w:val="el-GR"/>
          </w:rPr>
          <w:t>https://www.rae.gr/parakolouthisi-agoron/</w:t>
        </w:r>
      </w:hyperlink>
      <w:r>
        <w:rPr>
          <w:rFonts w:asciiTheme="minorHAnsi" w:hAnsiTheme="minorHAnsi" w:cstheme="minorHAnsi"/>
          <w:sz w:val="22"/>
          <w:szCs w:val="22"/>
          <w:lang w:val="el-GR"/>
        </w:rPr>
        <w:t>) διασφαλίζουν τις προσιτές τιμές στους καταναλωτές που παρατηρούμε σήμερα. Σε κάθε περίπτωση εάν παρατηρηθούν και πάλι σημαντικές αυξήσεις στις τιμές φυσικού αερίου και άρα ηλεκτρικής ενέργειας που συνεπάγονται την ύπαρξη υπερκερδών, το κράτος διαθέτει πλέον τα εργαλεία και είναι έτοιμο να επέμβει, σύμφωνα πάντα με το Ευρωπαϊκό πλαίσιο.</w:t>
      </w:r>
    </w:p>
    <w:p w14:paraId="615E819E" w14:textId="77777777" w:rsidR="005A714D" w:rsidRDefault="005A714D" w:rsidP="000C3A92">
      <w:pPr>
        <w:spacing w:line="22" w:lineRule="atLeast"/>
        <w:jc w:val="both"/>
        <w:rPr>
          <w:bCs/>
        </w:rPr>
      </w:pPr>
    </w:p>
    <w:p w14:paraId="7EA289D6" w14:textId="1FE7E79F" w:rsidR="00B71E34" w:rsidRDefault="00334931" w:rsidP="008A65A0">
      <w:pPr>
        <w:spacing w:line="22" w:lineRule="atLeast"/>
        <w:jc w:val="both"/>
        <w:rPr>
          <w:bCs/>
        </w:rPr>
      </w:pPr>
      <w:r>
        <w:rPr>
          <w:bCs/>
        </w:rPr>
        <w:t xml:space="preserve">Με το </w:t>
      </w:r>
      <w:r w:rsidRPr="00E1109B">
        <w:rPr>
          <w:b/>
        </w:rPr>
        <w:t>άρθρο 7</w:t>
      </w:r>
      <w:r>
        <w:rPr>
          <w:bCs/>
        </w:rPr>
        <w:t xml:space="preserve"> </w:t>
      </w:r>
      <w:r w:rsidR="008A65A0">
        <w:rPr>
          <w:bCs/>
        </w:rPr>
        <w:t xml:space="preserve">με τίτλο «ΜΕΙΩΣΗ ΚΟΣΤΟΥΣ ΑΓΡΟΤΙΚΟΥ ΡΕΥΜΑΤΟΣ» </w:t>
      </w:r>
      <w:r w:rsidR="008A65A0" w:rsidRPr="008A65A0">
        <w:rPr>
          <w:b/>
        </w:rPr>
        <w:t>θεσμοθετείται ειδική έκπτωση στη διάθεση προϊόντων ηλεκτρικής ενέργειας για τους δικαιούχους αγρότες και κτηνοτρόφους η οποία ορίζεται στο 50% της εκάστοτε τελικής βασικής τιμής προμήθειας ηλεκτρικής ενέργειας</w:t>
      </w:r>
      <w:r w:rsidR="008A65A0" w:rsidRPr="008A65A0">
        <w:t xml:space="preserve"> </w:t>
      </w:r>
      <w:r w:rsidR="008A65A0" w:rsidRPr="008A65A0">
        <w:rPr>
          <w:bCs/>
        </w:rPr>
        <w:t>και χορηγείται μέσω της διαμόρφωσης ειδικού προϊόντος διάθεσης ηλεκτρικής ενέργειας από τις εταιρείες παρόχους, το οποίο θα πρέπει να φέρει διακριτό τίτλο περιλαμβάνοντας το λεκτικό "ΑΓΡΟΕΝΕΡΓΕΙΑ"</w:t>
      </w:r>
      <w:r w:rsidR="008A65A0">
        <w:rPr>
          <w:bCs/>
        </w:rPr>
        <w:t>.</w:t>
      </w:r>
      <w:r w:rsidR="008A65A0" w:rsidRPr="008A65A0">
        <w:t xml:space="preserve"> </w:t>
      </w:r>
      <w:r w:rsidR="008A65A0" w:rsidRPr="008A65A0">
        <w:rPr>
          <w:bCs/>
        </w:rPr>
        <w:t>Για τον υπολογισμό του ύψους της τελικής χρέωσης εφαρμόζεται έκπτωση 50% επί της τελικής τιμής διάθεσης, όπως αυτή διαμορφώνεται από τον νόμο 4951/2022.</w:t>
      </w:r>
      <w:r w:rsidR="008A65A0">
        <w:rPr>
          <w:bCs/>
        </w:rPr>
        <w:t xml:space="preserve"> </w:t>
      </w:r>
      <w:r w:rsidR="008A65A0" w:rsidRPr="008A65A0">
        <w:rPr>
          <w:bCs/>
        </w:rPr>
        <w:t>Για τις ανάγκες της παρούσας ρύθμισης η τελική τιμή διάθεσης παραμένει σταθερή κατ΄ ελάχιστον για έξι (12) μήνες.</w:t>
      </w:r>
    </w:p>
    <w:p w14:paraId="7EA2A43A" w14:textId="65776182" w:rsidR="008A65A0" w:rsidRDefault="003F773E" w:rsidP="005218CB">
      <w:pPr>
        <w:pStyle w:val="ListParagraph"/>
        <w:numPr>
          <w:ilvl w:val="0"/>
          <w:numId w:val="37"/>
        </w:numPr>
        <w:spacing w:line="22" w:lineRule="atLeast"/>
        <w:jc w:val="both"/>
        <w:rPr>
          <w:bCs/>
        </w:rPr>
      </w:pPr>
      <w:r w:rsidRPr="003F773E">
        <w:rPr>
          <w:bCs/>
        </w:rPr>
        <w:t>Η Κυβέρνηση τον Απρίλιο του 2024 προχώρησε στην έκδοση ΚΥΑ η οποία προσδιορίζει τις υποχρεώσεις των προμηθευτών για την παροχή του τιμολογίου «ΓΑΙΑ» στους αγρότες οι οποίοι αποκτούν πρόσβαση σε μακροχρόνια (10ετή) βάση σε χαμηλές τιμές ηλεκτρικής ενέργειας.</w:t>
      </w:r>
      <w:r w:rsidR="00CA352B">
        <w:rPr>
          <w:bCs/>
        </w:rPr>
        <w:t xml:space="preserve"> Παράλληλα δόθηκε η δυνατότητα εξόφλησης των οφειλών τους σε δέκα έτη.</w:t>
      </w:r>
    </w:p>
    <w:p w14:paraId="29F9DE3C" w14:textId="435F35D9" w:rsidR="00A4195C" w:rsidRDefault="00D35BF1" w:rsidP="00A4195C">
      <w:pPr>
        <w:pStyle w:val="ListParagraph"/>
        <w:numPr>
          <w:ilvl w:val="0"/>
          <w:numId w:val="37"/>
        </w:numPr>
        <w:spacing w:line="22" w:lineRule="atLeast"/>
        <w:jc w:val="both"/>
        <w:rPr>
          <w:bCs/>
        </w:rPr>
      </w:pPr>
      <w:r>
        <w:rPr>
          <w:bCs/>
        </w:rPr>
        <w:t xml:space="preserve">Η προτεινόμενη από τον ΣΥΡΙΖΑ έκπτωση 50% επί της τελικής τιμής θα σήμαινε σταυροειδής επιδοτήσεις προς τους καταναλωτές αγροτικού ρεύματος έναντι των λοιπών καταναλωτών και πιθανώς εγείρει θέματα ανταγωνισμού, πωλώ δεν μάλλον αν υιοθετηθεί με νομοθετική παρέμβαση. Συνεπώς μια τέτοια ρύθμιση απαιτεί προηγούμενη έγκριση από την </w:t>
      </w:r>
      <w:r>
        <w:rPr>
          <w:bCs/>
          <w:lang w:val="en-US"/>
        </w:rPr>
        <w:t>DG</w:t>
      </w:r>
      <w:r w:rsidRPr="00D35BF1">
        <w:rPr>
          <w:bCs/>
        </w:rPr>
        <w:t>-</w:t>
      </w:r>
      <w:r>
        <w:rPr>
          <w:bCs/>
          <w:lang w:val="en-US"/>
        </w:rPr>
        <w:t>COM</w:t>
      </w:r>
      <w:r>
        <w:rPr>
          <w:bCs/>
        </w:rPr>
        <w:t>.</w:t>
      </w:r>
    </w:p>
    <w:p w14:paraId="6FDF2D85" w14:textId="77777777" w:rsidR="00D35BF1" w:rsidRDefault="00D35BF1" w:rsidP="00D35BF1">
      <w:pPr>
        <w:spacing w:line="22" w:lineRule="atLeast"/>
        <w:jc w:val="both"/>
        <w:rPr>
          <w:bCs/>
        </w:rPr>
      </w:pPr>
    </w:p>
    <w:p w14:paraId="46E8EEA1" w14:textId="75666B6B" w:rsidR="00D35BF1" w:rsidRDefault="006176AA" w:rsidP="00D35BF1">
      <w:pPr>
        <w:spacing w:line="22" w:lineRule="atLeast"/>
        <w:jc w:val="both"/>
        <w:rPr>
          <w:bCs/>
        </w:rPr>
      </w:pPr>
      <w:r>
        <w:rPr>
          <w:bCs/>
        </w:rPr>
        <w:t xml:space="preserve">Με το </w:t>
      </w:r>
      <w:r w:rsidRPr="00E1109B">
        <w:rPr>
          <w:b/>
        </w:rPr>
        <w:t xml:space="preserve">άρθρο </w:t>
      </w:r>
      <w:r>
        <w:rPr>
          <w:b/>
        </w:rPr>
        <w:t>8</w:t>
      </w:r>
      <w:r>
        <w:rPr>
          <w:bCs/>
        </w:rPr>
        <w:t xml:space="preserve"> με τίτλο</w:t>
      </w:r>
      <w:r w:rsidR="00646A90" w:rsidRPr="00646A90">
        <w:t xml:space="preserve"> </w:t>
      </w:r>
      <w:r w:rsidR="00646A90">
        <w:t>«</w:t>
      </w:r>
      <w:r w:rsidR="00646A90" w:rsidRPr="00646A90">
        <w:rPr>
          <w:bCs/>
        </w:rPr>
        <w:t>ΜΕΙΩΣΗ ΚΟΣΤΟΥΣ ΦΥΤΙΚΗΣ ΚΑΙ ΚΤΗΝΟΤΡΟΦΙΚΗΣ ΠΑΡΑΓΩΓΗΣ</w:t>
      </w:r>
      <w:r w:rsidR="00646A90">
        <w:rPr>
          <w:bCs/>
        </w:rPr>
        <w:t>» προβλέπεται η τροποποίηση του υπάρχοντος νόμου για τα μικτά περιθώρια κέρδους που υιοθέτηση η παρούσα κυβέρνηση (Ν. 5045/2023) ώστε στο πεδίο εφαρμογής να προστεθεί ρητώς και η «</w:t>
      </w:r>
      <w:r w:rsidR="00646A90" w:rsidRPr="009232B7">
        <w:rPr>
          <w:b/>
        </w:rPr>
        <w:t>εμπορική διάθεση</w:t>
      </w:r>
      <w:r w:rsidR="00646A90">
        <w:rPr>
          <w:bCs/>
        </w:rPr>
        <w:t xml:space="preserve"> σε επαγγελματίες αγρότες, κτηνοτρόφους και συνεταιριστικές ομάδες και συνεταιρισμούς αυτών </w:t>
      </w:r>
      <w:r w:rsidR="00646A90" w:rsidRPr="009232B7">
        <w:rPr>
          <w:b/>
        </w:rPr>
        <w:t>λιπασμάτων και ζωοτροφών</w:t>
      </w:r>
      <w:r w:rsidR="00646A90">
        <w:rPr>
          <w:bCs/>
        </w:rPr>
        <w:t>».</w:t>
      </w:r>
    </w:p>
    <w:p w14:paraId="607833F6" w14:textId="1EA9520C" w:rsidR="00646A90" w:rsidRDefault="00646A90" w:rsidP="00496367">
      <w:pPr>
        <w:pStyle w:val="ListParagraph"/>
        <w:numPr>
          <w:ilvl w:val="0"/>
          <w:numId w:val="38"/>
        </w:numPr>
        <w:spacing w:line="22" w:lineRule="atLeast"/>
        <w:jc w:val="both"/>
        <w:rPr>
          <w:bCs/>
        </w:rPr>
      </w:pPr>
      <w:r w:rsidRPr="00496367">
        <w:rPr>
          <w:bCs/>
        </w:rPr>
        <w:t>Σημειώνεται ότι η σημερινή διάταξη ήδη περιλαμβάνει (α) ρητώς τη πώληση πρώτων υλών για την παραγωγή λιπασμάτων και ζωοτροφών, καθώς και (β) τη πώληση οποιουδήποτε προϊόντος που είναι απαραίτητο για τη διατροφή. Η εν λόγω διάταξη αποσαφηνίζεται ότι ο νόμος εφαρμόζεται και στην εμπορική διάθεση λιπασμάτων, στο βαθμό που δεν καλύπτεται από την υπάρχουσα πρόβλεψη του νόμου για προϊόντα απαραίτητα για τη διατροφή.</w:t>
      </w:r>
    </w:p>
    <w:p w14:paraId="591404EC" w14:textId="77777777" w:rsidR="0078387F" w:rsidRDefault="0078387F" w:rsidP="00D35BF1">
      <w:pPr>
        <w:spacing w:line="22" w:lineRule="atLeast"/>
        <w:jc w:val="both"/>
        <w:rPr>
          <w:bCs/>
        </w:rPr>
      </w:pPr>
    </w:p>
    <w:p w14:paraId="57FD5241" w14:textId="5B9592A6" w:rsidR="0078387F" w:rsidRDefault="00496367" w:rsidP="00496367">
      <w:pPr>
        <w:spacing w:line="22" w:lineRule="atLeast"/>
        <w:jc w:val="both"/>
        <w:rPr>
          <w:bCs/>
        </w:rPr>
      </w:pPr>
      <w:r>
        <w:rPr>
          <w:bCs/>
        </w:rPr>
        <w:t xml:space="preserve">Με το </w:t>
      </w:r>
      <w:r w:rsidRPr="009232B7">
        <w:rPr>
          <w:b/>
        </w:rPr>
        <w:t>άρθρο 9</w:t>
      </w:r>
      <w:r>
        <w:rPr>
          <w:bCs/>
        </w:rPr>
        <w:t xml:space="preserve">  με τίτλο «</w:t>
      </w:r>
      <w:r w:rsidRPr="00496367">
        <w:rPr>
          <w:bCs/>
        </w:rPr>
        <w:t>Σύσταση Μηχανισμού</w:t>
      </w:r>
      <w:r>
        <w:rPr>
          <w:bCs/>
        </w:rPr>
        <w:t xml:space="preserve"> </w:t>
      </w:r>
      <w:r w:rsidRPr="00496367">
        <w:rPr>
          <w:bCs/>
        </w:rPr>
        <w:t>Ελέγχου Αγοράς Αγροτικών Προϊόντων</w:t>
      </w:r>
      <w:r>
        <w:rPr>
          <w:bCs/>
        </w:rPr>
        <w:t xml:space="preserve">» </w:t>
      </w:r>
      <w:r w:rsidRPr="009232B7">
        <w:rPr>
          <w:b/>
        </w:rPr>
        <w:t>συνιστάται αυτοτελής Μονάδα Μηχανισμού Ελέγχου Τιμών Αγροτικών Προϊόντων του Υπουργείου Αγροτικής Ανάπτυξης</w:t>
      </w:r>
      <w:r w:rsidRPr="00496367">
        <w:rPr>
          <w:bCs/>
        </w:rPr>
        <w:t xml:space="preserve"> &amp; Τροφίμων, υπαγόμενη στην Γενική Διεύθυνση Τροφίμων</w:t>
      </w:r>
      <w:r>
        <w:rPr>
          <w:bCs/>
        </w:rPr>
        <w:t xml:space="preserve">. </w:t>
      </w:r>
      <w:r w:rsidRPr="00496367">
        <w:rPr>
          <w:bCs/>
        </w:rPr>
        <w:t>Σκοπός της Μονάδας Μηχανισμού Ελέγχου Τιμών Αγροτικών Προϊόντων, είναι η διασφάλιση της εύρυθμης λειτουργίας της αγοράς αγροτικών προϊόντων,  σε όλα τα στάδια παραγωγής, αποθήκευσης, επεξεργασίας, μεταποίησης και τελικής διάθεσης των αγροτικών προϊόντων, καθώς και η καταπολέμηση των αθέμιτων εμπορικών πρακτικών του νόμου 4792/2021.</w:t>
      </w:r>
      <w:r w:rsidRPr="00496367">
        <w:t xml:space="preserve"> </w:t>
      </w:r>
      <w:r w:rsidRPr="00496367">
        <w:rPr>
          <w:bCs/>
        </w:rPr>
        <w:t>Έργο της Μονάδας Μηχανισμού Ελέγχου Τιμών Αγροτικών Προϊόντων είναι  η δημιουργία και τήρηση κεντρικού ψηφιακού συστήματος καταγραφής και</w:t>
      </w:r>
      <w:r w:rsidRPr="00496367">
        <w:t xml:space="preserve"> </w:t>
      </w:r>
      <w:r w:rsidRPr="00496367">
        <w:rPr>
          <w:bCs/>
        </w:rPr>
        <w:t>διαχείρισης των δεδομένων της αξίας των αγροτικών προϊόντων και των στοιχείων που την διαμορφώνουν</w:t>
      </w:r>
      <w:r>
        <w:rPr>
          <w:bCs/>
        </w:rPr>
        <w:t xml:space="preserve"> και </w:t>
      </w:r>
      <w:r w:rsidRPr="00496367">
        <w:rPr>
          <w:bCs/>
        </w:rPr>
        <w:t>η δημιουργία και τήρηση κεντρικού ψηφιακού συστήματος καταγραφής των καταγγελιών, των εκθέσεων ελέγχων και των κυρώσεων</w:t>
      </w:r>
      <w:r>
        <w:rPr>
          <w:bCs/>
        </w:rPr>
        <w:t>.</w:t>
      </w:r>
      <w:r w:rsidR="009232B7" w:rsidRPr="009232B7">
        <w:t xml:space="preserve"> </w:t>
      </w:r>
      <w:r w:rsidR="009232B7" w:rsidRPr="009232B7">
        <w:rPr>
          <w:bCs/>
        </w:rPr>
        <w:t>Για τον έλεγχο της αγοράς αγροτικών προϊόντων και την αντιμετώπιση των αθέμιτων εμπορικών πρακτικών η Μονάδα στελεχώνεται με ελεγκτές.</w:t>
      </w:r>
    </w:p>
    <w:p w14:paraId="59177D83" w14:textId="50C351B9" w:rsidR="009232B7" w:rsidRPr="00E658AE" w:rsidRDefault="009232B7" w:rsidP="00E658AE">
      <w:pPr>
        <w:pStyle w:val="ListParagraph"/>
        <w:numPr>
          <w:ilvl w:val="0"/>
          <w:numId w:val="38"/>
        </w:numPr>
        <w:spacing w:line="22" w:lineRule="atLeast"/>
        <w:jc w:val="both"/>
        <w:rPr>
          <w:bCs/>
        </w:rPr>
      </w:pPr>
      <w:r w:rsidRPr="00E658AE">
        <w:rPr>
          <w:bCs/>
        </w:rPr>
        <w:lastRenderedPageBreak/>
        <w:t>Για την αξιολόγηση της πρότασης θα πρέπει να εξεταστεί εάν υπάρχουν ήδη σχετικές αρμοδιότητες σε άλλες μονάδες του Υπουργείου Αγροτικής Ανάπτυξης ή του Υπουργείου Ανάπτυξης.</w:t>
      </w:r>
    </w:p>
    <w:p w14:paraId="199336E5" w14:textId="77777777" w:rsidR="00646A90" w:rsidRDefault="00646A90" w:rsidP="00D35BF1">
      <w:pPr>
        <w:spacing w:line="22" w:lineRule="atLeast"/>
        <w:jc w:val="both"/>
        <w:rPr>
          <w:bCs/>
        </w:rPr>
      </w:pPr>
    </w:p>
    <w:p w14:paraId="62575AC3" w14:textId="644768CA" w:rsidR="00646A90" w:rsidRDefault="007121BB" w:rsidP="00D35BF1">
      <w:pPr>
        <w:spacing w:line="22" w:lineRule="atLeast"/>
        <w:jc w:val="both"/>
        <w:rPr>
          <w:bCs/>
        </w:rPr>
      </w:pPr>
      <w:r>
        <w:rPr>
          <w:bCs/>
        </w:rPr>
        <w:t xml:space="preserve">Με το </w:t>
      </w:r>
      <w:r w:rsidRPr="009232B7">
        <w:rPr>
          <w:b/>
        </w:rPr>
        <w:t xml:space="preserve">άρθρο </w:t>
      </w:r>
      <w:r>
        <w:rPr>
          <w:b/>
        </w:rPr>
        <w:t>10</w:t>
      </w:r>
      <w:r>
        <w:rPr>
          <w:bCs/>
        </w:rPr>
        <w:t xml:space="preserve">  με τίτλο «</w:t>
      </w:r>
      <w:r w:rsidR="007D0468" w:rsidRPr="007D0468">
        <w:rPr>
          <w:bCs/>
        </w:rPr>
        <w:t>Διοικητικά μέτρα κατά των επιχειρήσεων παραγωγής και εμπορίας τροφίμων, βιομηχανικών αγαθών και αγροεφοδίων που παραβαίνουν τις διατάξεις του άρθρου 1</w:t>
      </w:r>
      <w:r>
        <w:rPr>
          <w:bCs/>
        </w:rPr>
        <w:t>»</w:t>
      </w:r>
      <w:r w:rsidR="00330C88">
        <w:rPr>
          <w:bCs/>
        </w:rPr>
        <w:t xml:space="preserve"> οι</w:t>
      </w:r>
      <w:r w:rsidR="005E232D" w:rsidRPr="005E232D">
        <w:rPr>
          <w:bCs/>
        </w:rPr>
        <w:t xml:space="preserve"> αναθέτουσες δημόσιες αρχές </w:t>
      </w:r>
      <w:r w:rsidR="005E232D" w:rsidRPr="00330C88">
        <w:rPr>
          <w:b/>
        </w:rPr>
        <w:t>αποκλείουν μια εταιρεία από τη συμμετοχή σε οποιοδήποτε στάδιο της διαδικασίας ανάθεσης δημόσιας σύμβασης, εφ’ όσον λάβουν γνώση ότι εναντίον της εταιρείας έχει επιβληθεί τελεσίδικα πρόστιμο εντός των τελευταίων πέντε (5) ετών</w:t>
      </w:r>
      <w:r w:rsidR="005E232D" w:rsidRPr="005E232D">
        <w:rPr>
          <w:bCs/>
        </w:rPr>
        <w:t xml:space="preserve"> για παράβαση του άρθρου 54 του Ν. 5045/2023 περί Περιστολής Φαινομένων Αθέμιτης Κερδοφορίας ή των άρθρων 101 και 102 της Συνθήκης Λειτουργίας της Ευρωπαϊκής Ένωσης ή του Ν. 3959/2011 περί της Προστασίας του Ελεύθερου Ανταγωνισμού.</w:t>
      </w:r>
    </w:p>
    <w:p w14:paraId="6B11B011" w14:textId="06D18639" w:rsidR="00D76F3B" w:rsidRDefault="00D76F3B" w:rsidP="00D35BF1">
      <w:pPr>
        <w:spacing w:line="22" w:lineRule="atLeast"/>
        <w:jc w:val="both"/>
        <w:rPr>
          <w:bCs/>
        </w:rPr>
      </w:pPr>
      <w:r w:rsidRPr="00D76F3B">
        <w:rPr>
          <w:bCs/>
        </w:rPr>
        <w:t>Σε όποιον παραβιάζει την παρ. 1 του άρθρου 54 του Ν. 5045/2023 επιβάλλεται πρόστιμο που πρέπει να είναι αποτελεσματικό, αναλογικό και αποτρεπτικό, μπορεί δε να φθάνει μέχρι ποσοστού δέκα τοις εκατό (10%) του συνολικού  κύκλου εργασιών της επιχείρησης εντός της χώρας  κατά την προηγούμενη της έκδοσης της απόφασης χρήση.</w:t>
      </w:r>
      <w:r w:rsidR="00557414" w:rsidRPr="00557414">
        <w:t xml:space="preserve"> </w:t>
      </w:r>
      <w:r w:rsidR="00557414">
        <w:rPr>
          <w:bCs/>
        </w:rPr>
        <w:t xml:space="preserve">Σκοπός </w:t>
      </w:r>
      <w:r w:rsidR="00300D01">
        <w:rPr>
          <w:bCs/>
        </w:rPr>
        <w:t xml:space="preserve">του άρθρου </w:t>
      </w:r>
      <w:r w:rsidR="00557414">
        <w:rPr>
          <w:bCs/>
        </w:rPr>
        <w:t>είναι να προσαρμοστεί το υπάρχον πλαίσιο</w:t>
      </w:r>
      <w:r w:rsidR="00557414" w:rsidRPr="00557414">
        <w:rPr>
          <w:bCs/>
        </w:rPr>
        <w:t>, καθότι φέρνει πολυεθνικές με τζίρο δεκάδων δισεκατομμυρίων αντιμέτωπες με ισοϋψές πρόστιμο έως 1 εκατομμύριο ευρώ (1.000.000€) με μικρότερες επιχειρήσεις με τζίρο μερικών εκατοντάδων χιλιάδων.</w:t>
      </w:r>
    </w:p>
    <w:p w14:paraId="14CF3A1B" w14:textId="4D9C77F4" w:rsidR="00646A90" w:rsidRPr="00E658AE" w:rsidRDefault="00E658AE" w:rsidP="00E658AE">
      <w:pPr>
        <w:pStyle w:val="ListParagraph"/>
        <w:numPr>
          <w:ilvl w:val="0"/>
          <w:numId w:val="38"/>
        </w:numPr>
        <w:spacing w:line="22" w:lineRule="atLeast"/>
        <w:jc w:val="both"/>
        <w:rPr>
          <w:bCs/>
        </w:rPr>
      </w:pPr>
      <w:r>
        <w:rPr>
          <w:bCs/>
        </w:rPr>
        <w:t>Μια τέτοια ρύθμιση θα πρέπει να εξεταστεί από την Επιτροπή Ανταγωνισμού εάν εξυπηρετεί τους σχετικούς σκοπούς αποτελεσματικής επιβολής προστίμων.</w:t>
      </w:r>
    </w:p>
    <w:p w14:paraId="097A9343" w14:textId="77777777" w:rsidR="00646A90" w:rsidRDefault="00646A90" w:rsidP="00D35BF1">
      <w:pPr>
        <w:spacing w:line="22" w:lineRule="atLeast"/>
        <w:jc w:val="both"/>
        <w:rPr>
          <w:bCs/>
        </w:rPr>
      </w:pPr>
    </w:p>
    <w:p w14:paraId="597FD5A6" w14:textId="77777777" w:rsidR="0066308A" w:rsidRPr="00CC761C" w:rsidRDefault="0066308A" w:rsidP="00CC761C">
      <w:pPr>
        <w:spacing w:after="0" w:line="240" w:lineRule="auto"/>
        <w:jc w:val="both"/>
        <w:rPr>
          <w:sz w:val="24"/>
          <w:szCs w:val="24"/>
        </w:rPr>
      </w:pPr>
    </w:p>
    <w:p w14:paraId="24201752" w14:textId="77777777" w:rsidR="0066308A" w:rsidRPr="00CC761C" w:rsidRDefault="0066308A" w:rsidP="00CC761C">
      <w:pPr>
        <w:spacing w:after="0" w:line="240" w:lineRule="auto"/>
        <w:jc w:val="both"/>
        <w:rPr>
          <w:sz w:val="24"/>
          <w:szCs w:val="24"/>
        </w:rPr>
      </w:pPr>
    </w:p>
    <w:p w14:paraId="4755B365" w14:textId="114CB056" w:rsidR="00CC761C" w:rsidRPr="00624E5D" w:rsidRDefault="00CC761C" w:rsidP="00D04D16">
      <w:pPr>
        <w:spacing w:after="200" w:line="240" w:lineRule="auto"/>
        <w:jc w:val="both"/>
        <w:rPr>
          <w:sz w:val="24"/>
          <w:szCs w:val="24"/>
        </w:rPr>
      </w:pPr>
    </w:p>
    <w:p w14:paraId="6E33E229" w14:textId="39CC02D5" w:rsidR="00624E5D" w:rsidRPr="0054023A" w:rsidRDefault="00624E5D" w:rsidP="00D04D16">
      <w:pPr>
        <w:jc w:val="both"/>
        <w:rPr>
          <w:sz w:val="24"/>
          <w:szCs w:val="24"/>
        </w:rPr>
      </w:pPr>
    </w:p>
    <w:p w14:paraId="0AF25668" w14:textId="77777777" w:rsidR="0037194D" w:rsidRPr="00047451" w:rsidRDefault="0037194D" w:rsidP="00D04D16">
      <w:pPr>
        <w:jc w:val="both"/>
        <w:rPr>
          <w:sz w:val="24"/>
          <w:szCs w:val="24"/>
        </w:rPr>
      </w:pPr>
    </w:p>
    <w:p w14:paraId="6C06DD6C" w14:textId="77777777" w:rsidR="00047451" w:rsidRPr="0054023A" w:rsidRDefault="00047451" w:rsidP="00D04D16">
      <w:pPr>
        <w:jc w:val="both"/>
        <w:rPr>
          <w:sz w:val="24"/>
          <w:szCs w:val="24"/>
        </w:rPr>
      </w:pPr>
    </w:p>
    <w:p w14:paraId="3318DB2D" w14:textId="77777777" w:rsidR="005D443D" w:rsidRDefault="005D443D">
      <w:pPr>
        <w:rPr>
          <w:b/>
          <w:color w:val="ED7D31" w:themeColor="accent2"/>
        </w:rPr>
      </w:pPr>
      <w:r>
        <w:rPr>
          <w:b/>
          <w:color w:val="ED7D31" w:themeColor="accent2"/>
        </w:rPr>
        <w:br w:type="page"/>
      </w:r>
    </w:p>
    <w:p w14:paraId="4C7B972F" w14:textId="77D14A35" w:rsidR="004D0C56" w:rsidRPr="00B506E7" w:rsidRDefault="004D0C56" w:rsidP="004E1C1E">
      <w:pPr>
        <w:jc w:val="both"/>
        <w:rPr>
          <w:b/>
          <w:color w:val="ED7D31" w:themeColor="accent2"/>
        </w:rPr>
      </w:pPr>
      <w:r w:rsidRPr="004D0C56">
        <w:rPr>
          <w:b/>
          <w:color w:val="ED7D31" w:themeColor="accent2"/>
        </w:rPr>
        <w:lastRenderedPageBreak/>
        <w:t>2</w:t>
      </w:r>
      <w:r w:rsidRPr="00A91B7E">
        <w:rPr>
          <w:b/>
          <w:color w:val="ED7D31" w:themeColor="accent2"/>
          <w:vertAlign w:val="superscript"/>
        </w:rPr>
        <w:t>ο</w:t>
      </w:r>
      <w:r w:rsidRPr="00A91B7E">
        <w:rPr>
          <w:b/>
          <w:color w:val="ED7D31" w:themeColor="accent2"/>
        </w:rPr>
        <w:t xml:space="preserve"> Νομοσχέδιο: </w:t>
      </w:r>
      <w:r w:rsidR="00B506E7">
        <w:rPr>
          <w:b/>
          <w:color w:val="ED7D31" w:themeColor="accent2"/>
        </w:rPr>
        <w:t>Για μια σταθερή, προοδευτική και δίκαιη φορολογία εισοδημάτων φυσικών-νομικών προσώπων και ιδιοκτησίας ακινήτων. Ελάφρυνση των εισφορών με ενίσχυση αγοραστικής δύναμης, των διαθέσιμων εισοδημάτων όλων των νοικοκυριών και των κεφαλαίων κίνησης των επιχειρήσεων, σε πορεία πραγματικής σύγκλισης του βιοτικού επιπέδου και των όρων του επιχειρείν στα μέσα επίπεδα της Ευρωπαϊκής Ένωσης.</w:t>
      </w:r>
    </w:p>
    <w:p w14:paraId="3C63CC0D" w14:textId="77777777" w:rsidR="004D0C56" w:rsidRPr="00A80CB1" w:rsidRDefault="004D0C56" w:rsidP="004D0C56">
      <w:pPr>
        <w:rPr>
          <w:b/>
        </w:rPr>
      </w:pPr>
    </w:p>
    <w:p w14:paraId="5B97F0BA" w14:textId="2895641C" w:rsidR="004D0C56" w:rsidRPr="004550BC" w:rsidRDefault="004D0C56" w:rsidP="004D0C56">
      <w:pPr>
        <w:jc w:val="both"/>
        <w:rPr>
          <w:bCs/>
        </w:rPr>
      </w:pPr>
      <w:r>
        <w:rPr>
          <w:bCs/>
        </w:rPr>
        <w:t>Το νομοσχέδιο αποτελείται από 1</w:t>
      </w:r>
      <w:r w:rsidR="0025450C">
        <w:rPr>
          <w:bCs/>
        </w:rPr>
        <w:t>5</w:t>
      </w:r>
      <w:r>
        <w:rPr>
          <w:bCs/>
        </w:rPr>
        <w:t xml:space="preserve"> άρθρα τα οποία περιλαμβάνουν</w:t>
      </w:r>
      <w:r w:rsidRPr="004550BC">
        <w:rPr>
          <w:bCs/>
        </w:rPr>
        <w:t>:</w:t>
      </w:r>
    </w:p>
    <w:p w14:paraId="6EFAFFE3" w14:textId="3F4679CE" w:rsidR="004D0C56" w:rsidRDefault="008C25D4" w:rsidP="004D0C56">
      <w:pPr>
        <w:pStyle w:val="ListParagraph"/>
        <w:numPr>
          <w:ilvl w:val="0"/>
          <w:numId w:val="24"/>
        </w:numPr>
        <w:jc w:val="both"/>
        <w:rPr>
          <w:bCs/>
        </w:rPr>
      </w:pPr>
      <w:r>
        <w:rPr>
          <w:bCs/>
        </w:rPr>
        <w:t>10</w:t>
      </w:r>
      <w:r w:rsidR="004D0C56">
        <w:rPr>
          <w:bCs/>
        </w:rPr>
        <w:t xml:space="preserve"> άρθρα με μειώσεις φόρων</w:t>
      </w:r>
      <w:r w:rsidR="004D0C56" w:rsidRPr="00EF4376">
        <w:rPr>
          <w:bCs/>
        </w:rPr>
        <w:t xml:space="preserve">: </w:t>
      </w:r>
      <w:r>
        <w:rPr>
          <w:bCs/>
        </w:rPr>
        <w:t>Τα άρθρα 1, 2, 3, 4, 7, 8, 9, 13, 14, 15</w:t>
      </w:r>
    </w:p>
    <w:p w14:paraId="3FD5CA88" w14:textId="4C983BFC" w:rsidR="008C25D4" w:rsidRDefault="005E49B2" w:rsidP="004D0C56">
      <w:pPr>
        <w:pStyle w:val="ListParagraph"/>
        <w:numPr>
          <w:ilvl w:val="0"/>
          <w:numId w:val="24"/>
        </w:numPr>
        <w:jc w:val="both"/>
        <w:rPr>
          <w:bCs/>
        </w:rPr>
      </w:pPr>
      <w:r>
        <w:rPr>
          <w:bCs/>
        </w:rPr>
        <w:t>3</w:t>
      </w:r>
      <w:r w:rsidR="008C25D4">
        <w:rPr>
          <w:bCs/>
        </w:rPr>
        <w:t xml:space="preserve"> άρθρα με αυξήσεις φόρων</w:t>
      </w:r>
      <w:r w:rsidR="008C25D4" w:rsidRPr="008C25D4">
        <w:rPr>
          <w:bCs/>
        </w:rPr>
        <w:t>:</w:t>
      </w:r>
      <w:r w:rsidR="008C25D4">
        <w:rPr>
          <w:bCs/>
        </w:rPr>
        <w:t xml:space="preserve"> Τα άρθρα 5, 10</w:t>
      </w:r>
      <w:r>
        <w:rPr>
          <w:bCs/>
        </w:rPr>
        <w:t>, 11</w:t>
      </w:r>
    </w:p>
    <w:p w14:paraId="32A024E7" w14:textId="4EBD965A" w:rsidR="005E49B2" w:rsidRDefault="005E49B2" w:rsidP="004D0C56">
      <w:pPr>
        <w:pStyle w:val="ListParagraph"/>
        <w:numPr>
          <w:ilvl w:val="0"/>
          <w:numId w:val="24"/>
        </w:numPr>
        <w:jc w:val="both"/>
        <w:rPr>
          <w:bCs/>
        </w:rPr>
      </w:pPr>
      <w:r>
        <w:rPr>
          <w:bCs/>
        </w:rPr>
        <w:t>2 άρθρα δημοσιονομικά σχεδόν ουδέτερα</w:t>
      </w:r>
      <w:r w:rsidRPr="005E49B2">
        <w:rPr>
          <w:bCs/>
        </w:rPr>
        <w:t xml:space="preserve">: </w:t>
      </w:r>
      <w:r>
        <w:rPr>
          <w:bCs/>
        </w:rPr>
        <w:t>Τα άρθρα 6 και 12</w:t>
      </w:r>
    </w:p>
    <w:p w14:paraId="0AD3CFCC" w14:textId="77777777" w:rsidR="005E49B2" w:rsidRPr="005E49B2" w:rsidRDefault="005E49B2" w:rsidP="005E49B2">
      <w:pPr>
        <w:jc w:val="both"/>
        <w:rPr>
          <w:bCs/>
        </w:rPr>
      </w:pPr>
    </w:p>
    <w:tbl>
      <w:tblPr>
        <w:tblW w:w="10385" w:type="dxa"/>
        <w:tblInd w:w="-998" w:type="dxa"/>
        <w:tblLook w:val="04A0" w:firstRow="1" w:lastRow="0" w:firstColumn="1" w:lastColumn="0" w:noHBand="0" w:noVBand="1"/>
      </w:tblPr>
      <w:tblGrid>
        <w:gridCol w:w="6841"/>
        <w:gridCol w:w="886"/>
        <w:gridCol w:w="886"/>
        <w:gridCol w:w="886"/>
        <w:gridCol w:w="886"/>
      </w:tblGrid>
      <w:tr w:rsidR="00345F72" w:rsidRPr="00345F72" w14:paraId="44880CD0" w14:textId="77777777" w:rsidTr="00345F72">
        <w:trPr>
          <w:trHeight w:val="290"/>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FAE4" w14:textId="77777777" w:rsidR="00345F72" w:rsidRPr="00345F72" w:rsidRDefault="00345F72" w:rsidP="00345F72">
            <w:pPr>
              <w:spacing w:after="0" w:line="240" w:lineRule="auto"/>
              <w:rPr>
                <w:rFonts w:ascii="Calibri" w:eastAsia="Times New Roman" w:hAnsi="Calibri" w:cs="Calibri"/>
                <w:b/>
                <w:bCs/>
                <w:color w:val="000000"/>
              </w:rPr>
            </w:pPr>
            <w:r w:rsidRPr="00345F72">
              <w:rPr>
                <w:rFonts w:ascii="Calibri" w:eastAsia="Times New Roman" w:hAnsi="Calibri" w:cs="Calibri"/>
                <w:b/>
                <w:bCs/>
                <w:color w:val="000000"/>
              </w:rPr>
              <w:t>Σύνοψη κόστους βασικών μέτρων του νομοσχεδίου (δισ. ευρώ)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DAF28A" w14:textId="77777777" w:rsidR="00345F72" w:rsidRPr="00345F72" w:rsidRDefault="00345F72" w:rsidP="00345F72">
            <w:pPr>
              <w:spacing w:after="0" w:line="240" w:lineRule="auto"/>
              <w:rPr>
                <w:rFonts w:ascii="Calibri" w:eastAsia="Times New Roman" w:hAnsi="Calibri" w:cs="Calibri"/>
                <w:color w:val="000000"/>
                <w:lang w:val="en-US"/>
              </w:rPr>
            </w:pPr>
            <w:r w:rsidRPr="00345F72">
              <w:rPr>
                <w:rFonts w:ascii="Calibri" w:eastAsia="Times New Roman" w:hAnsi="Calibri" w:cs="Calibri"/>
                <w:color w:val="000000"/>
                <w:lang w:val="en-US"/>
              </w:rPr>
              <w:t>1ο έτος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977FC2" w14:textId="77777777" w:rsidR="00345F72" w:rsidRPr="00345F72" w:rsidRDefault="00345F72" w:rsidP="00345F72">
            <w:pPr>
              <w:spacing w:after="0" w:line="240" w:lineRule="auto"/>
              <w:rPr>
                <w:rFonts w:ascii="Calibri" w:eastAsia="Times New Roman" w:hAnsi="Calibri" w:cs="Calibri"/>
                <w:color w:val="000000"/>
                <w:lang w:val="en-US"/>
              </w:rPr>
            </w:pPr>
            <w:r w:rsidRPr="00345F72">
              <w:rPr>
                <w:rFonts w:ascii="Calibri" w:eastAsia="Times New Roman" w:hAnsi="Calibri" w:cs="Calibri"/>
                <w:color w:val="000000"/>
                <w:lang w:val="en-US"/>
              </w:rPr>
              <w:t>2ο έτος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0D1768" w14:textId="77777777" w:rsidR="00345F72" w:rsidRPr="00345F72" w:rsidRDefault="00345F72" w:rsidP="00345F72">
            <w:pPr>
              <w:spacing w:after="0" w:line="240" w:lineRule="auto"/>
              <w:rPr>
                <w:rFonts w:ascii="Calibri" w:eastAsia="Times New Roman" w:hAnsi="Calibri" w:cs="Calibri"/>
                <w:color w:val="000000"/>
                <w:lang w:val="en-US"/>
              </w:rPr>
            </w:pPr>
            <w:r w:rsidRPr="00345F72">
              <w:rPr>
                <w:rFonts w:ascii="Calibri" w:eastAsia="Times New Roman" w:hAnsi="Calibri" w:cs="Calibri"/>
                <w:color w:val="000000"/>
                <w:lang w:val="en-US"/>
              </w:rPr>
              <w:t>3ο έτος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47DA22" w14:textId="77777777" w:rsidR="00345F72" w:rsidRPr="00345F72" w:rsidRDefault="00345F72" w:rsidP="00345F72">
            <w:pPr>
              <w:spacing w:after="0" w:line="240" w:lineRule="auto"/>
              <w:rPr>
                <w:rFonts w:ascii="Calibri" w:eastAsia="Times New Roman" w:hAnsi="Calibri" w:cs="Calibri"/>
                <w:color w:val="000000"/>
                <w:lang w:val="en-US"/>
              </w:rPr>
            </w:pPr>
            <w:r w:rsidRPr="00345F72">
              <w:rPr>
                <w:rFonts w:ascii="Calibri" w:eastAsia="Times New Roman" w:hAnsi="Calibri" w:cs="Calibri"/>
                <w:color w:val="000000"/>
                <w:lang w:val="en-US"/>
              </w:rPr>
              <w:t>4ο έτος</w:t>
            </w:r>
          </w:p>
        </w:tc>
      </w:tr>
      <w:tr w:rsidR="00345F72" w:rsidRPr="00345F72" w14:paraId="52B130FD" w14:textId="77777777" w:rsidTr="00345F72">
        <w:trPr>
          <w:trHeight w:val="870"/>
        </w:trPr>
        <w:tc>
          <w:tcPr>
            <w:tcW w:w="6841" w:type="dxa"/>
            <w:tcBorders>
              <w:top w:val="nil"/>
              <w:left w:val="single" w:sz="4" w:space="0" w:color="auto"/>
              <w:bottom w:val="single" w:sz="4" w:space="0" w:color="auto"/>
              <w:right w:val="single" w:sz="4" w:space="0" w:color="auto"/>
            </w:tcBorders>
            <w:shd w:val="clear" w:color="auto" w:fill="auto"/>
            <w:hideMark/>
          </w:tcPr>
          <w:p w14:paraId="326065D3"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Αντικατάσταση κλίμακας εισοδήματος και αύξηση αφορολόγητου για οικογένειες χωρίς τέκνα και εισοδήματα από επιχειρηματική δραστηριότητα (άρθρα 1-3)</w:t>
            </w:r>
          </w:p>
        </w:tc>
        <w:tc>
          <w:tcPr>
            <w:tcW w:w="0" w:type="auto"/>
            <w:tcBorders>
              <w:top w:val="nil"/>
              <w:left w:val="nil"/>
              <w:bottom w:val="single" w:sz="4" w:space="0" w:color="auto"/>
              <w:right w:val="single" w:sz="4" w:space="0" w:color="auto"/>
            </w:tcBorders>
            <w:shd w:val="clear" w:color="auto" w:fill="auto"/>
            <w:noWrap/>
            <w:vAlign w:val="bottom"/>
            <w:hideMark/>
          </w:tcPr>
          <w:p w14:paraId="372F1676" w14:textId="1FE57998" w:rsidR="00345F72" w:rsidRPr="00E50DF8" w:rsidRDefault="00345F72" w:rsidP="00345F72">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lang w:val="en-US"/>
              </w:rPr>
              <w:t>-3,</w:t>
            </w:r>
            <w:r w:rsidR="00E50DF8">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247D794C" w14:textId="782C0B62" w:rsidR="00345F72" w:rsidRPr="00E50DF8" w:rsidRDefault="00345F72" w:rsidP="00345F72">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lang w:val="en-US"/>
              </w:rPr>
              <w:t>-3,</w:t>
            </w:r>
            <w:r w:rsidR="00E50DF8">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7CA31692" w14:textId="242CE37B" w:rsidR="00345F72" w:rsidRPr="00E50DF8" w:rsidRDefault="00345F72" w:rsidP="00345F72">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lang w:val="en-US"/>
              </w:rPr>
              <w:t>-3,</w:t>
            </w:r>
            <w:r w:rsidR="00E50DF8">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17A5E790" w14:textId="7FAA8461" w:rsidR="00345F72" w:rsidRPr="00E50DF8" w:rsidRDefault="00345F72" w:rsidP="00345F72">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lang w:val="en-US"/>
              </w:rPr>
              <w:t>-3,</w:t>
            </w:r>
            <w:r w:rsidR="00E50DF8">
              <w:rPr>
                <w:rFonts w:ascii="Calibri" w:eastAsia="Times New Roman" w:hAnsi="Calibri" w:cs="Calibri"/>
                <w:color w:val="000000"/>
              </w:rPr>
              <w:t>5</w:t>
            </w:r>
          </w:p>
        </w:tc>
      </w:tr>
      <w:tr w:rsidR="00345F72" w:rsidRPr="00345F72" w14:paraId="0CB16A8C" w14:textId="77777777" w:rsidTr="00345F72">
        <w:trPr>
          <w:trHeight w:val="290"/>
        </w:trPr>
        <w:tc>
          <w:tcPr>
            <w:tcW w:w="6841" w:type="dxa"/>
            <w:tcBorders>
              <w:top w:val="nil"/>
              <w:left w:val="single" w:sz="4" w:space="0" w:color="auto"/>
              <w:bottom w:val="single" w:sz="4" w:space="0" w:color="auto"/>
              <w:right w:val="single" w:sz="4" w:space="0" w:color="auto"/>
            </w:tcBorders>
            <w:shd w:val="clear" w:color="auto" w:fill="auto"/>
            <w:hideMark/>
          </w:tcPr>
          <w:p w14:paraId="72B14428"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Μειώσεις ΕΝΦΙΑ ανάλογα με τη συνολική αξία της περιουσίας (άρθρο 4)</w:t>
            </w:r>
          </w:p>
        </w:tc>
        <w:tc>
          <w:tcPr>
            <w:tcW w:w="0" w:type="auto"/>
            <w:tcBorders>
              <w:top w:val="nil"/>
              <w:left w:val="nil"/>
              <w:bottom w:val="single" w:sz="4" w:space="0" w:color="auto"/>
              <w:right w:val="single" w:sz="4" w:space="0" w:color="auto"/>
            </w:tcBorders>
            <w:shd w:val="clear" w:color="auto" w:fill="auto"/>
            <w:noWrap/>
            <w:vAlign w:val="bottom"/>
            <w:hideMark/>
          </w:tcPr>
          <w:p w14:paraId="1590A21A"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-0,32</w:t>
            </w:r>
          </w:p>
        </w:tc>
        <w:tc>
          <w:tcPr>
            <w:tcW w:w="0" w:type="auto"/>
            <w:tcBorders>
              <w:top w:val="nil"/>
              <w:left w:val="nil"/>
              <w:bottom w:val="single" w:sz="4" w:space="0" w:color="auto"/>
              <w:right w:val="single" w:sz="4" w:space="0" w:color="auto"/>
            </w:tcBorders>
            <w:shd w:val="clear" w:color="auto" w:fill="auto"/>
            <w:noWrap/>
            <w:vAlign w:val="bottom"/>
            <w:hideMark/>
          </w:tcPr>
          <w:p w14:paraId="68A784C0"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-0,32</w:t>
            </w:r>
          </w:p>
        </w:tc>
        <w:tc>
          <w:tcPr>
            <w:tcW w:w="0" w:type="auto"/>
            <w:tcBorders>
              <w:top w:val="nil"/>
              <w:left w:val="nil"/>
              <w:bottom w:val="single" w:sz="4" w:space="0" w:color="auto"/>
              <w:right w:val="single" w:sz="4" w:space="0" w:color="auto"/>
            </w:tcBorders>
            <w:shd w:val="clear" w:color="auto" w:fill="auto"/>
            <w:noWrap/>
            <w:vAlign w:val="bottom"/>
            <w:hideMark/>
          </w:tcPr>
          <w:p w14:paraId="7D9CBAA0"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-0,32</w:t>
            </w:r>
          </w:p>
        </w:tc>
        <w:tc>
          <w:tcPr>
            <w:tcW w:w="0" w:type="auto"/>
            <w:tcBorders>
              <w:top w:val="nil"/>
              <w:left w:val="nil"/>
              <w:bottom w:val="single" w:sz="4" w:space="0" w:color="auto"/>
              <w:right w:val="single" w:sz="4" w:space="0" w:color="auto"/>
            </w:tcBorders>
            <w:shd w:val="clear" w:color="auto" w:fill="auto"/>
            <w:noWrap/>
            <w:vAlign w:val="bottom"/>
            <w:hideMark/>
          </w:tcPr>
          <w:p w14:paraId="00B07627"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-0,32</w:t>
            </w:r>
          </w:p>
        </w:tc>
      </w:tr>
      <w:tr w:rsidR="00345F72" w:rsidRPr="00345F72" w14:paraId="6342C34C" w14:textId="77777777" w:rsidTr="00345F72">
        <w:trPr>
          <w:trHeight w:val="290"/>
        </w:trPr>
        <w:tc>
          <w:tcPr>
            <w:tcW w:w="6841" w:type="dxa"/>
            <w:tcBorders>
              <w:top w:val="nil"/>
              <w:left w:val="single" w:sz="4" w:space="0" w:color="auto"/>
              <w:bottom w:val="single" w:sz="4" w:space="0" w:color="auto"/>
              <w:right w:val="single" w:sz="4" w:space="0" w:color="auto"/>
            </w:tcBorders>
            <w:shd w:val="clear" w:color="auto" w:fill="auto"/>
            <w:hideMark/>
          </w:tcPr>
          <w:p w14:paraId="0D512F11" w14:textId="6A96BADE" w:rsidR="00345F72" w:rsidRPr="001659B0" w:rsidRDefault="00345F72" w:rsidP="00345F72">
            <w:pPr>
              <w:spacing w:after="0" w:line="240" w:lineRule="auto"/>
              <w:rPr>
                <w:rFonts w:ascii="Calibri" w:eastAsia="Times New Roman" w:hAnsi="Calibri" w:cs="Calibri"/>
                <w:color w:val="000000"/>
              </w:rPr>
            </w:pPr>
            <w:r w:rsidRPr="001659B0">
              <w:rPr>
                <w:rFonts w:ascii="Calibri" w:eastAsia="Times New Roman" w:hAnsi="Calibri" w:cs="Calibri"/>
                <w:color w:val="000000"/>
              </w:rPr>
              <w:t>Θέσπιση συμπληρωματικού ΕΝΦΙΑ</w:t>
            </w:r>
            <w:r w:rsidR="001659B0">
              <w:rPr>
                <w:rFonts w:ascii="Calibri" w:eastAsia="Times New Roman" w:hAnsi="Calibri" w:cs="Calibri"/>
                <w:color w:val="000000"/>
              </w:rPr>
              <w:t xml:space="preserve"> Μεγάλης Ακίνητης Περιουσίας</w:t>
            </w:r>
            <w:r w:rsidRPr="001659B0">
              <w:rPr>
                <w:rFonts w:ascii="Calibri" w:eastAsia="Times New Roman" w:hAnsi="Calibri" w:cs="Calibri"/>
                <w:color w:val="000000"/>
              </w:rPr>
              <w:t xml:space="preserve"> (άρθρο 5)</w:t>
            </w:r>
          </w:p>
        </w:tc>
        <w:tc>
          <w:tcPr>
            <w:tcW w:w="0" w:type="auto"/>
            <w:tcBorders>
              <w:top w:val="nil"/>
              <w:left w:val="nil"/>
              <w:bottom w:val="single" w:sz="4" w:space="0" w:color="auto"/>
              <w:right w:val="single" w:sz="4" w:space="0" w:color="auto"/>
            </w:tcBorders>
            <w:shd w:val="clear" w:color="auto" w:fill="auto"/>
            <w:noWrap/>
            <w:vAlign w:val="bottom"/>
            <w:hideMark/>
          </w:tcPr>
          <w:p w14:paraId="7E87529C"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0,50</w:t>
            </w:r>
          </w:p>
        </w:tc>
        <w:tc>
          <w:tcPr>
            <w:tcW w:w="0" w:type="auto"/>
            <w:tcBorders>
              <w:top w:val="nil"/>
              <w:left w:val="nil"/>
              <w:bottom w:val="single" w:sz="4" w:space="0" w:color="auto"/>
              <w:right w:val="single" w:sz="4" w:space="0" w:color="auto"/>
            </w:tcBorders>
            <w:shd w:val="clear" w:color="auto" w:fill="auto"/>
            <w:noWrap/>
            <w:vAlign w:val="bottom"/>
            <w:hideMark/>
          </w:tcPr>
          <w:p w14:paraId="28793268"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0,50</w:t>
            </w:r>
          </w:p>
        </w:tc>
        <w:tc>
          <w:tcPr>
            <w:tcW w:w="0" w:type="auto"/>
            <w:tcBorders>
              <w:top w:val="nil"/>
              <w:left w:val="nil"/>
              <w:bottom w:val="single" w:sz="4" w:space="0" w:color="auto"/>
              <w:right w:val="single" w:sz="4" w:space="0" w:color="auto"/>
            </w:tcBorders>
            <w:shd w:val="clear" w:color="auto" w:fill="auto"/>
            <w:noWrap/>
            <w:vAlign w:val="bottom"/>
            <w:hideMark/>
          </w:tcPr>
          <w:p w14:paraId="4C8F8816"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0,50</w:t>
            </w:r>
          </w:p>
        </w:tc>
        <w:tc>
          <w:tcPr>
            <w:tcW w:w="0" w:type="auto"/>
            <w:tcBorders>
              <w:top w:val="nil"/>
              <w:left w:val="nil"/>
              <w:bottom w:val="single" w:sz="4" w:space="0" w:color="auto"/>
              <w:right w:val="single" w:sz="4" w:space="0" w:color="auto"/>
            </w:tcBorders>
            <w:shd w:val="clear" w:color="auto" w:fill="auto"/>
            <w:noWrap/>
            <w:vAlign w:val="bottom"/>
            <w:hideMark/>
          </w:tcPr>
          <w:p w14:paraId="396498B2"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0,50</w:t>
            </w:r>
          </w:p>
        </w:tc>
      </w:tr>
      <w:tr w:rsidR="00345F72" w:rsidRPr="00345F72" w14:paraId="22557CBB" w14:textId="77777777" w:rsidTr="00345F72">
        <w:trPr>
          <w:trHeight w:val="460"/>
        </w:trPr>
        <w:tc>
          <w:tcPr>
            <w:tcW w:w="6841" w:type="dxa"/>
            <w:tcBorders>
              <w:top w:val="nil"/>
              <w:left w:val="single" w:sz="4" w:space="0" w:color="auto"/>
              <w:bottom w:val="single" w:sz="4" w:space="0" w:color="auto"/>
              <w:right w:val="single" w:sz="4" w:space="0" w:color="auto"/>
            </w:tcBorders>
            <w:shd w:val="clear" w:color="auto" w:fill="auto"/>
            <w:hideMark/>
          </w:tcPr>
          <w:p w14:paraId="134B2443"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Αντικατάσταση συντελεστή φορολόγησης κερδών νομικών προσώπων (άρθρο 6)</w:t>
            </w:r>
          </w:p>
        </w:tc>
        <w:tc>
          <w:tcPr>
            <w:tcW w:w="0" w:type="auto"/>
            <w:tcBorders>
              <w:top w:val="nil"/>
              <w:left w:val="nil"/>
              <w:bottom w:val="single" w:sz="4" w:space="0" w:color="auto"/>
              <w:right w:val="single" w:sz="4" w:space="0" w:color="auto"/>
            </w:tcBorders>
            <w:shd w:val="clear" w:color="auto" w:fill="auto"/>
            <w:noWrap/>
            <w:vAlign w:val="bottom"/>
            <w:hideMark/>
          </w:tcPr>
          <w:p w14:paraId="44BAD629"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w:t>
            </w:r>
          </w:p>
        </w:tc>
        <w:tc>
          <w:tcPr>
            <w:tcW w:w="0" w:type="auto"/>
            <w:tcBorders>
              <w:top w:val="nil"/>
              <w:left w:val="nil"/>
              <w:bottom w:val="single" w:sz="4" w:space="0" w:color="auto"/>
              <w:right w:val="single" w:sz="4" w:space="0" w:color="auto"/>
            </w:tcBorders>
            <w:shd w:val="clear" w:color="auto" w:fill="auto"/>
            <w:noWrap/>
            <w:vAlign w:val="bottom"/>
            <w:hideMark/>
          </w:tcPr>
          <w:p w14:paraId="4EB6C919"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w:t>
            </w:r>
          </w:p>
        </w:tc>
        <w:tc>
          <w:tcPr>
            <w:tcW w:w="0" w:type="auto"/>
            <w:tcBorders>
              <w:top w:val="nil"/>
              <w:left w:val="nil"/>
              <w:bottom w:val="single" w:sz="4" w:space="0" w:color="auto"/>
              <w:right w:val="single" w:sz="4" w:space="0" w:color="auto"/>
            </w:tcBorders>
            <w:shd w:val="clear" w:color="auto" w:fill="auto"/>
            <w:noWrap/>
            <w:vAlign w:val="bottom"/>
            <w:hideMark/>
          </w:tcPr>
          <w:p w14:paraId="554D94A1"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w:t>
            </w:r>
          </w:p>
        </w:tc>
        <w:tc>
          <w:tcPr>
            <w:tcW w:w="0" w:type="auto"/>
            <w:tcBorders>
              <w:top w:val="nil"/>
              <w:left w:val="nil"/>
              <w:bottom w:val="single" w:sz="4" w:space="0" w:color="auto"/>
              <w:right w:val="single" w:sz="4" w:space="0" w:color="auto"/>
            </w:tcBorders>
            <w:shd w:val="clear" w:color="auto" w:fill="auto"/>
            <w:noWrap/>
            <w:vAlign w:val="bottom"/>
            <w:hideMark/>
          </w:tcPr>
          <w:p w14:paraId="1C4BC872"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w:t>
            </w:r>
          </w:p>
        </w:tc>
      </w:tr>
      <w:tr w:rsidR="00345F72" w:rsidRPr="00345F72" w14:paraId="3F26E6EA" w14:textId="77777777" w:rsidTr="00345F72">
        <w:trPr>
          <w:trHeight w:val="297"/>
        </w:trPr>
        <w:tc>
          <w:tcPr>
            <w:tcW w:w="6841" w:type="dxa"/>
            <w:tcBorders>
              <w:top w:val="nil"/>
              <w:left w:val="single" w:sz="4" w:space="0" w:color="auto"/>
              <w:bottom w:val="single" w:sz="4" w:space="0" w:color="auto"/>
              <w:right w:val="single" w:sz="4" w:space="0" w:color="auto"/>
            </w:tcBorders>
            <w:shd w:val="clear" w:color="auto" w:fill="auto"/>
            <w:hideMark/>
          </w:tcPr>
          <w:p w14:paraId="449ED811"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Κατάργηση προκαταβολής φόρου για φυσικά πρόσωπα (άρθρο 7)</w:t>
            </w:r>
          </w:p>
        </w:tc>
        <w:tc>
          <w:tcPr>
            <w:tcW w:w="0" w:type="auto"/>
            <w:tcBorders>
              <w:top w:val="nil"/>
              <w:left w:val="nil"/>
              <w:bottom w:val="single" w:sz="4" w:space="0" w:color="auto"/>
              <w:right w:val="single" w:sz="4" w:space="0" w:color="auto"/>
            </w:tcBorders>
            <w:shd w:val="clear" w:color="auto" w:fill="auto"/>
            <w:noWrap/>
            <w:vAlign w:val="bottom"/>
            <w:hideMark/>
          </w:tcPr>
          <w:p w14:paraId="1CD3DE9E"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-0,40</w:t>
            </w:r>
          </w:p>
        </w:tc>
        <w:tc>
          <w:tcPr>
            <w:tcW w:w="0" w:type="auto"/>
            <w:tcBorders>
              <w:top w:val="nil"/>
              <w:left w:val="nil"/>
              <w:bottom w:val="single" w:sz="4" w:space="0" w:color="auto"/>
              <w:right w:val="single" w:sz="4" w:space="0" w:color="auto"/>
            </w:tcBorders>
            <w:shd w:val="clear" w:color="auto" w:fill="auto"/>
            <w:noWrap/>
            <w:vAlign w:val="bottom"/>
            <w:hideMark/>
          </w:tcPr>
          <w:p w14:paraId="07101018"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0,00</w:t>
            </w:r>
          </w:p>
        </w:tc>
        <w:tc>
          <w:tcPr>
            <w:tcW w:w="0" w:type="auto"/>
            <w:tcBorders>
              <w:top w:val="nil"/>
              <w:left w:val="nil"/>
              <w:bottom w:val="single" w:sz="4" w:space="0" w:color="auto"/>
              <w:right w:val="single" w:sz="4" w:space="0" w:color="auto"/>
            </w:tcBorders>
            <w:shd w:val="clear" w:color="auto" w:fill="auto"/>
            <w:noWrap/>
            <w:vAlign w:val="bottom"/>
            <w:hideMark/>
          </w:tcPr>
          <w:p w14:paraId="0E462125"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0,00</w:t>
            </w:r>
          </w:p>
        </w:tc>
        <w:tc>
          <w:tcPr>
            <w:tcW w:w="0" w:type="auto"/>
            <w:tcBorders>
              <w:top w:val="nil"/>
              <w:left w:val="nil"/>
              <w:bottom w:val="single" w:sz="4" w:space="0" w:color="auto"/>
              <w:right w:val="single" w:sz="4" w:space="0" w:color="auto"/>
            </w:tcBorders>
            <w:shd w:val="clear" w:color="auto" w:fill="auto"/>
            <w:noWrap/>
            <w:vAlign w:val="bottom"/>
            <w:hideMark/>
          </w:tcPr>
          <w:p w14:paraId="3372334D"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0,00</w:t>
            </w:r>
          </w:p>
        </w:tc>
      </w:tr>
      <w:tr w:rsidR="00345F72" w:rsidRPr="00345F72" w14:paraId="34FB2AA3" w14:textId="77777777" w:rsidTr="00345F72">
        <w:trPr>
          <w:trHeight w:val="290"/>
        </w:trPr>
        <w:tc>
          <w:tcPr>
            <w:tcW w:w="6841" w:type="dxa"/>
            <w:tcBorders>
              <w:top w:val="nil"/>
              <w:left w:val="single" w:sz="4" w:space="0" w:color="auto"/>
              <w:bottom w:val="single" w:sz="4" w:space="0" w:color="auto"/>
              <w:right w:val="single" w:sz="4" w:space="0" w:color="auto"/>
            </w:tcBorders>
            <w:shd w:val="clear" w:color="auto" w:fill="auto"/>
            <w:hideMark/>
          </w:tcPr>
          <w:p w14:paraId="527585F5"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Κατάργηση προκαταβολής φόρου για νομικά πρόσωπα (άρθρο 8)</w:t>
            </w:r>
          </w:p>
        </w:tc>
        <w:tc>
          <w:tcPr>
            <w:tcW w:w="0" w:type="auto"/>
            <w:tcBorders>
              <w:top w:val="nil"/>
              <w:left w:val="nil"/>
              <w:bottom w:val="single" w:sz="4" w:space="0" w:color="auto"/>
              <w:right w:val="single" w:sz="4" w:space="0" w:color="auto"/>
            </w:tcBorders>
            <w:shd w:val="clear" w:color="auto" w:fill="auto"/>
            <w:noWrap/>
            <w:vAlign w:val="bottom"/>
            <w:hideMark/>
          </w:tcPr>
          <w:p w14:paraId="01A0F7E0"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-3,77</w:t>
            </w:r>
          </w:p>
        </w:tc>
        <w:tc>
          <w:tcPr>
            <w:tcW w:w="0" w:type="auto"/>
            <w:tcBorders>
              <w:top w:val="nil"/>
              <w:left w:val="nil"/>
              <w:bottom w:val="single" w:sz="4" w:space="0" w:color="auto"/>
              <w:right w:val="single" w:sz="4" w:space="0" w:color="auto"/>
            </w:tcBorders>
            <w:shd w:val="clear" w:color="auto" w:fill="auto"/>
            <w:noWrap/>
            <w:vAlign w:val="bottom"/>
            <w:hideMark/>
          </w:tcPr>
          <w:p w14:paraId="1752071F"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0,00</w:t>
            </w:r>
          </w:p>
        </w:tc>
        <w:tc>
          <w:tcPr>
            <w:tcW w:w="0" w:type="auto"/>
            <w:tcBorders>
              <w:top w:val="nil"/>
              <w:left w:val="nil"/>
              <w:bottom w:val="single" w:sz="4" w:space="0" w:color="auto"/>
              <w:right w:val="single" w:sz="4" w:space="0" w:color="auto"/>
            </w:tcBorders>
            <w:shd w:val="clear" w:color="auto" w:fill="auto"/>
            <w:noWrap/>
            <w:vAlign w:val="bottom"/>
            <w:hideMark/>
          </w:tcPr>
          <w:p w14:paraId="40E7F353"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0,00</w:t>
            </w:r>
          </w:p>
        </w:tc>
        <w:tc>
          <w:tcPr>
            <w:tcW w:w="0" w:type="auto"/>
            <w:tcBorders>
              <w:top w:val="nil"/>
              <w:left w:val="nil"/>
              <w:bottom w:val="single" w:sz="4" w:space="0" w:color="auto"/>
              <w:right w:val="single" w:sz="4" w:space="0" w:color="auto"/>
            </w:tcBorders>
            <w:shd w:val="clear" w:color="auto" w:fill="auto"/>
            <w:noWrap/>
            <w:vAlign w:val="bottom"/>
            <w:hideMark/>
          </w:tcPr>
          <w:p w14:paraId="1D6E8BF0"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0,00</w:t>
            </w:r>
          </w:p>
        </w:tc>
      </w:tr>
      <w:tr w:rsidR="00345F72" w:rsidRPr="00345F72" w14:paraId="4793FBDB" w14:textId="77777777" w:rsidTr="00345F72">
        <w:trPr>
          <w:trHeight w:val="580"/>
        </w:trPr>
        <w:tc>
          <w:tcPr>
            <w:tcW w:w="6841" w:type="dxa"/>
            <w:tcBorders>
              <w:top w:val="nil"/>
              <w:left w:val="single" w:sz="4" w:space="0" w:color="auto"/>
              <w:bottom w:val="single" w:sz="4" w:space="0" w:color="auto"/>
              <w:right w:val="single" w:sz="4" w:space="0" w:color="auto"/>
            </w:tcBorders>
            <w:shd w:val="clear" w:color="auto" w:fill="auto"/>
            <w:hideMark/>
          </w:tcPr>
          <w:p w14:paraId="229F8EC0" w14:textId="79B508AB"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 xml:space="preserve">Μείωση εισαγωγικού φορολογικού συντελεστή για εισοδήματα από </w:t>
            </w:r>
            <w:r w:rsidR="00235DFB">
              <w:rPr>
                <w:rFonts w:ascii="Calibri" w:eastAsia="Times New Roman" w:hAnsi="Calibri" w:cs="Calibri"/>
                <w:color w:val="000000"/>
              </w:rPr>
              <w:t>ακίνητη περ</w:t>
            </w:r>
            <w:r w:rsidR="00F103C0">
              <w:rPr>
                <w:rFonts w:ascii="Calibri" w:eastAsia="Times New Roman" w:hAnsi="Calibri" w:cs="Calibri"/>
                <w:color w:val="000000"/>
              </w:rPr>
              <w:t>ι</w:t>
            </w:r>
            <w:r w:rsidR="00235DFB">
              <w:rPr>
                <w:rFonts w:ascii="Calibri" w:eastAsia="Times New Roman" w:hAnsi="Calibri" w:cs="Calibri"/>
                <w:color w:val="000000"/>
              </w:rPr>
              <w:t>ουσία</w:t>
            </w:r>
            <w:r w:rsidRPr="00345F72">
              <w:rPr>
                <w:rFonts w:ascii="Calibri" w:eastAsia="Times New Roman" w:hAnsi="Calibri" w:cs="Calibri"/>
                <w:color w:val="000000"/>
              </w:rPr>
              <w:t xml:space="preserve"> (άρθρο 9)</w:t>
            </w:r>
          </w:p>
        </w:tc>
        <w:tc>
          <w:tcPr>
            <w:tcW w:w="0" w:type="auto"/>
            <w:tcBorders>
              <w:top w:val="nil"/>
              <w:left w:val="nil"/>
              <w:bottom w:val="single" w:sz="4" w:space="0" w:color="auto"/>
              <w:right w:val="single" w:sz="4" w:space="0" w:color="auto"/>
            </w:tcBorders>
            <w:shd w:val="clear" w:color="auto" w:fill="auto"/>
            <w:noWrap/>
            <w:vAlign w:val="bottom"/>
            <w:hideMark/>
          </w:tcPr>
          <w:p w14:paraId="5E3425ED"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-0,66</w:t>
            </w:r>
          </w:p>
        </w:tc>
        <w:tc>
          <w:tcPr>
            <w:tcW w:w="0" w:type="auto"/>
            <w:tcBorders>
              <w:top w:val="nil"/>
              <w:left w:val="nil"/>
              <w:bottom w:val="single" w:sz="4" w:space="0" w:color="auto"/>
              <w:right w:val="single" w:sz="4" w:space="0" w:color="auto"/>
            </w:tcBorders>
            <w:shd w:val="clear" w:color="auto" w:fill="auto"/>
            <w:noWrap/>
            <w:vAlign w:val="bottom"/>
            <w:hideMark/>
          </w:tcPr>
          <w:p w14:paraId="119FEE8F"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-0,66</w:t>
            </w:r>
          </w:p>
        </w:tc>
        <w:tc>
          <w:tcPr>
            <w:tcW w:w="0" w:type="auto"/>
            <w:tcBorders>
              <w:top w:val="nil"/>
              <w:left w:val="nil"/>
              <w:bottom w:val="single" w:sz="4" w:space="0" w:color="auto"/>
              <w:right w:val="single" w:sz="4" w:space="0" w:color="auto"/>
            </w:tcBorders>
            <w:shd w:val="clear" w:color="auto" w:fill="auto"/>
            <w:noWrap/>
            <w:vAlign w:val="bottom"/>
            <w:hideMark/>
          </w:tcPr>
          <w:p w14:paraId="3F8FA849"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-0,66</w:t>
            </w:r>
          </w:p>
        </w:tc>
        <w:tc>
          <w:tcPr>
            <w:tcW w:w="0" w:type="auto"/>
            <w:tcBorders>
              <w:top w:val="nil"/>
              <w:left w:val="nil"/>
              <w:bottom w:val="single" w:sz="4" w:space="0" w:color="auto"/>
              <w:right w:val="single" w:sz="4" w:space="0" w:color="auto"/>
            </w:tcBorders>
            <w:shd w:val="clear" w:color="auto" w:fill="auto"/>
            <w:noWrap/>
            <w:vAlign w:val="bottom"/>
            <w:hideMark/>
          </w:tcPr>
          <w:p w14:paraId="0537C52D"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-0,66</w:t>
            </w:r>
          </w:p>
        </w:tc>
      </w:tr>
      <w:tr w:rsidR="00345F72" w:rsidRPr="00345F72" w14:paraId="3EEE5A61" w14:textId="77777777" w:rsidTr="00345F72">
        <w:trPr>
          <w:trHeight w:val="580"/>
        </w:trPr>
        <w:tc>
          <w:tcPr>
            <w:tcW w:w="6841" w:type="dxa"/>
            <w:tcBorders>
              <w:top w:val="nil"/>
              <w:left w:val="single" w:sz="4" w:space="0" w:color="auto"/>
              <w:bottom w:val="single" w:sz="4" w:space="0" w:color="auto"/>
              <w:right w:val="single" w:sz="4" w:space="0" w:color="auto"/>
            </w:tcBorders>
            <w:shd w:val="clear" w:color="auto" w:fill="auto"/>
            <w:hideMark/>
          </w:tcPr>
          <w:p w14:paraId="1331D65B"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Κατάργηση ελάχιστου ποσού καθαρού εισοδήματος από την άσκηση επαγγελματικής δραστηριότητας (άρθρο 13)</w:t>
            </w:r>
          </w:p>
        </w:tc>
        <w:tc>
          <w:tcPr>
            <w:tcW w:w="0" w:type="auto"/>
            <w:tcBorders>
              <w:top w:val="nil"/>
              <w:left w:val="nil"/>
              <w:bottom w:val="single" w:sz="4" w:space="0" w:color="auto"/>
              <w:right w:val="single" w:sz="4" w:space="0" w:color="auto"/>
            </w:tcBorders>
            <w:shd w:val="clear" w:color="auto" w:fill="auto"/>
            <w:noWrap/>
            <w:vAlign w:val="bottom"/>
            <w:hideMark/>
          </w:tcPr>
          <w:p w14:paraId="79F913B5"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w:t>
            </w:r>
          </w:p>
        </w:tc>
        <w:tc>
          <w:tcPr>
            <w:tcW w:w="0" w:type="auto"/>
            <w:tcBorders>
              <w:top w:val="nil"/>
              <w:left w:val="nil"/>
              <w:bottom w:val="single" w:sz="4" w:space="0" w:color="auto"/>
              <w:right w:val="single" w:sz="4" w:space="0" w:color="auto"/>
            </w:tcBorders>
            <w:shd w:val="clear" w:color="auto" w:fill="auto"/>
            <w:noWrap/>
            <w:vAlign w:val="bottom"/>
            <w:hideMark/>
          </w:tcPr>
          <w:p w14:paraId="6375FEDD"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w:t>
            </w:r>
          </w:p>
        </w:tc>
        <w:tc>
          <w:tcPr>
            <w:tcW w:w="0" w:type="auto"/>
            <w:tcBorders>
              <w:top w:val="nil"/>
              <w:left w:val="nil"/>
              <w:bottom w:val="single" w:sz="4" w:space="0" w:color="auto"/>
              <w:right w:val="single" w:sz="4" w:space="0" w:color="auto"/>
            </w:tcBorders>
            <w:shd w:val="clear" w:color="auto" w:fill="auto"/>
            <w:noWrap/>
            <w:vAlign w:val="bottom"/>
            <w:hideMark/>
          </w:tcPr>
          <w:p w14:paraId="40BF44B8"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w:t>
            </w:r>
          </w:p>
        </w:tc>
        <w:tc>
          <w:tcPr>
            <w:tcW w:w="0" w:type="auto"/>
            <w:tcBorders>
              <w:top w:val="nil"/>
              <w:left w:val="nil"/>
              <w:bottom w:val="single" w:sz="4" w:space="0" w:color="auto"/>
              <w:right w:val="single" w:sz="4" w:space="0" w:color="auto"/>
            </w:tcBorders>
            <w:shd w:val="clear" w:color="auto" w:fill="auto"/>
            <w:noWrap/>
            <w:vAlign w:val="bottom"/>
            <w:hideMark/>
          </w:tcPr>
          <w:p w14:paraId="04BC17EC"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-0,6</w:t>
            </w:r>
          </w:p>
        </w:tc>
      </w:tr>
      <w:tr w:rsidR="00345F72" w:rsidRPr="00345F72" w14:paraId="5BCDB4B4" w14:textId="77777777" w:rsidTr="00345F72">
        <w:trPr>
          <w:trHeight w:val="290"/>
        </w:trPr>
        <w:tc>
          <w:tcPr>
            <w:tcW w:w="6841" w:type="dxa"/>
            <w:tcBorders>
              <w:top w:val="nil"/>
              <w:left w:val="single" w:sz="4" w:space="0" w:color="auto"/>
              <w:bottom w:val="single" w:sz="4" w:space="0" w:color="auto"/>
              <w:right w:val="single" w:sz="4" w:space="0" w:color="auto"/>
            </w:tcBorders>
            <w:shd w:val="clear" w:color="auto" w:fill="auto"/>
            <w:noWrap/>
            <w:vAlign w:val="bottom"/>
            <w:hideMark/>
          </w:tcPr>
          <w:p w14:paraId="590E0411" w14:textId="77777777" w:rsidR="00345F72" w:rsidRPr="00345F72" w:rsidRDefault="00345F72" w:rsidP="00345F72">
            <w:pPr>
              <w:spacing w:after="0" w:line="240" w:lineRule="auto"/>
              <w:rPr>
                <w:rFonts w:ascii="Calibri" w:eastAsia="Times New Roman" w:hAnsi="Calibri" w:cs="Calibri"/>
                <w:color w:val="000000"/>
              </w:rPr>
            </w:pPr>
            <w:r w:rsidRPr="00345F72">
              <w:rPr>
                <w:rFonts w:ascii="Calibri" w:eastAsia="Times New Roman" w:hAnsi="Calibri" w:cs="Calibri"/>
                <w:color w:val="000000"/>
              </w:rPr>
              <w:t>Μείωση ασφαλιστικών εισφορών ιδιωτικού τομέα κατά 4,5% σταδιακά (άρθρο 14)</w:t>
            </w:r>
          </w:p>
        </w:tc>
        <w:tc>
          <w:tcPr>
            <w:tcW w:w="0" w:type="auto"/>
            <w:tcBorders>
              <w:top w:val="nil"/>
              <w:left w:val="nil"/>
              <w:bottom w:val="single" w:sz="4" w:space="0" w:color="auto"/>
              <w:right w:val="single" w:sz="4" w:space="0" w:color="auto"/>
            </w:tcBorders>
            <w:shd w:val="clear" w:color="auto" w:fill="auto"/>
            <w:noWrap/>
            <w:vAlign w:val="bottom"/>
            <w:hideMark/>
          </w:tcPr>
          <w:p w14:paraId="09BEEF4C"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-0,43</w:t>
            </w:r>
          </w:p>
        </w:tc>
        <w:tc>
          <w:tcPr>
            <w:tcW w:w="0" w:type="auto"/>
            <w:tcBorders>
              <w:top w:val="nil"/>
              <w:left w:val="nil"/>
              <w:bottom w:val="single" w:sz="4" w:space="0" w:color="auto"/>
              <w:right w:val="single" w:sz="4" w:space="0" w:color="auto"/>
            </w:tcBorders>
            <w:shd w:val="clear" w:color="auto" w:fill="auto"/>
            <w:noWrap/>
            <w:vAlign w:val="bottom"/>
            <w:hideMark/>
          </w:tcPr>
          <w:p w14:paraId="7CEEF865"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-0,86</w:t>
            </w:r>
          </w:p>
        </w:tc>
        <w:tc>
          <w:tcPr>
            <w:tcW w:w="0" w:type="auto"/>
            <w:tcBorders>
              <w:top w:val="nil"/>
              <w:left w:val="nil"/>
              <w:bottom w:val="single" w:sz="4" w:space="0" w:color="auto"/>
              <w:right w:val="single" w:sz="4" w:space="0" w:color="auto"/>
            </w:tcBorders>
            <w:shd w:val="clear" w:color="auto" w:fill="auto"/>
            <w:noWrap/>
            <w:vAlign w:val="bottom"/>
            <w:hideMark/>
          </w:tcPr>
          <w:p w14:paraId="76BC26F6"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-1,28</w:t>
            </w:r>
          </w:p>
        </w:tc>
        <w:tc>
          <w:tcPr>
            <w:tcW w:w="0" w:type="auto"/>
            <w:tcBorders>
              <w:top w:val="nil"/>
              <w:left w:val="nil"/>
              <w:bottom w:val="single" w:sz="4" w:space="0" w:color="auto"/>
              <w:right w:val="single" w:sz="4" w:space="0" w:color="auto"/>
            </w:tcBorders>
            <w:shd w:val="clear" w:color="auto" w:fill="auto"/>
            <w:noWrap/>
            <w:vAlign w:val="bottom"/>
            <w:hideMark/>
          </w:tcPr>
          <w:p w14:paraId="2B2F9757"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-1,70</w:t>
            </w:r>
          </w:p>
        </w:tc>
      </w:tr>
      <w:tr w:rsidR="00345F72" w:rsidRPr="00345F72" w14:paraId="19A40902" w14:textId="77777777" w:rsidTr="00345F72">
        <w:trPr>
          <w:trHeight w:val="290"/>
        </w:trPr>
        <w:tc>
          <w:tcPr>
            <w:tcW w:w="6841" w:type="dxa"/>
            <w:tcBorders>
              <w:top w:val="nil"/>
              <w:left w:val="single" w:sz="4" w:space="0" w:color="auto"/>
              <w:bottom w:val="single" w:sz="4" w:space="0" w:color="auto"/>
              <w:right w:val="single" w:sz="4" w:space="0" w:color="auto"/>
            </w:tcBorders>
            <w:shd w:val="clear" w:color="auto" w:fill="auto"/>
            <w:noWrap/>
            <w:vAlign w:val="bottom"/>
            <w:hideMark/>
          </w:tcPr>
          <w:p w14:paraId="7D9A3DE5" w14:textId="77777777" w:rsidR="00345F72" w:rsidRPr="00345F72" w:rsidRDefault="00345F72" w:rsidP="00345F72">
            <w:pPr>
              <w:spacing w:after="0" w:line="240" w:lineRule="auto"/>
              <w:rPr>
                <w:rFonts w:ascii="Calibri" w:eastAsia="Times New Roman" w:hAnsi="Calibri" w:cs="Calibri"/>
                <w:color w:val="000000"/>
                <w:lang w:val="en-US"/>
              </w:rPr>
            </w:pPr>
            <w:r w:rsidRPr="00345F72">
              <w:rPr>
                <w:rFonts w:ascii="Calibri" w:eastAsia="Times New Roman" w:hAnsi="Calibri" w:cs="Calibri"/>
                <w:color w:val="000000"/>
                <w:lang w:val="en-US"/>
              </w:rPr>
              <w:t>Κατάργηση τέλους επιτηδεύματος (άρθρο 15)</w:t>
            </w:r>
          </w:p>
        </w:tc>
        <w:tc>
          <w:tcPr>
            <w:tcW w:w="0" w:type="auto"/>
            <w:tcBorders>
              <w:top w:val="nil"/>
              <w:left w:val="nil"/>
              <w:bottom w:val="single" w:sz="4" w:space="0" w:color="auto"/>
              <w:right w:val="single" w:sz="4" w:space="0" w:color="auto"/>
            </w:tcBorders>
            <w:shd w:val="clear" w:color="auto" w:fill="auto"/>
            <w:noWrap/>
            <w:vAlign w:val="bottom"/>
            <w:hideMark/>
          </w:tcPr>
          <w:p w14:paraId="21457899"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-0,12</w:t>
            </w:r>
          </w:p>
        </w:tc>
        <w:tc>
          <w:tcPr>
            <w:tcW w:w="0" w:type="auto"/>
            <w:tcBorders>
              <w:top w:val="nil"/>
              <w:left w:val="nil"/>
              <w:bottom w:val="single" w:sz="4" w:space="0" w:color="auto"/>
              <w:right w:val="single" w:sz="4" w:space="0" w:color="auto"/>
            </w:tcBorders>
            <w:shd w:val="clear" w:color="auto" w:fill="auto"/>
            <w:noWrap/>
            <w:vAlign w:val="bottom"/>
            <w:hideMark/>
          </w:tcPr>
          <w:p w14:paraId="0130498C"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-0,12</w:t>
            </w:r>
          </w:p>
        </w:tc>
        <w:tc>
          <w:tcPr>
            <w:tcW w:w="0" w:type="auto"/>
            <w:tcBorders>
              <w:top w:val="nil"/>
              <w:left w:val="nil"/>
              <w:bottom w:val="single" w:sz="4" w:space="0" w:color="auto"/>
              <w:right w:val="single" w:sz="4" w:space="0" w:color="auto"/>
            </w:tcBorders>
            <w:shd w:val="clear" w:color="auto" w:fill="auto"/>
            <w:noWrap/>
            <w:vAlign w:val="bottom"/>
            <w:hideMark/>
          </w:tcPr>
          <w:p w14:paraId="348229AC"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-0,12</w:t>
            </w:r>
          </w:p>
        </w:tc>
        <w:tc>
          <w:tcPr>
            <w:tcW w:w="0" w:type="auto"/>
            <w:tcBorders>
              <w:top w:val="nil"/>
              <w:left w:val="nil"/>
              <w:bottom w:val="single" w:sz="4" w:space="0" w:color="auto"/>
              <w:right w:val="single" w:sz="4" w:space="0" w:color="auto"/>
            </w:tcBorders>
            <w:shd w:val="clear" w:color="auto" w:fill="auto"/>
            <w:noWrap/>
            <w:vAlign w:val="bottom"/>
            <w:hideMark/>
          </w:tcPr>
          <w:p w14:paraId="00856C9A" w14:textId="77777777" w:rsidR="00345F72" w:rsidRPr="00345F72" w:rsidRDefault="00345F72" w:rsidP="00345F72">
            <w:pPr>
              <w:spacing w:after="0" w:line="240" w:lineRule="auto"/>
              <w:jc w:val="right"/>
              <w:rPr>
                <w:rFonts w:ascii="Calibri" w:eastAsia="Times New Roman" w:hAnsi="Calibri" w:cs="Calibri"/>
                <w:color w:val="000000"/>
                <w:lang w:val="en-US"/>
              </w:rPr>
            </w:pPr>
            <w:r w:rsidRPr="00345F72">
              <w:rPr>
                <w:rFonts w:ascii="Calibri" w:eastAsia="Times New Roman" w:hAnsi="Calibri" w:cs="Calibri"/>
                <w:color w:val="000000"/>
                <w:lang w:val="en-US"/>
              </w:rPr>
              <w:t>-0,12</w:t>
            </w:r>
          </w:p>
        </w:tc>
      </w:tr>
      <w:tr w:rsidR="00345F72" w:rsidRPr="00345F72" w14:paraId="11B62C72" w14:textId="77777777" w:rsidTr="00345F72">
        <w:trPr>
          <w:trHeight w:val="290"/>
        </w:trPr>
        <w:tc>
          <w:tcPr>
            <w:tcW w:w="6841" w:type="dxa"/>
            <w:tcBorders>
              <w:top w:val="nil"/>
              <w:left w:val="single" w:sz="4" w:space="0" w:color="auto"/>
              <w:bottom w:val="single" w:sz="4" w:space="0" w:color="auto"/>
              <w:right w:val="single" w:sz="4" w:space="0" w:color="auto"/>
            </w:tcBorders>
            <w:shd w:val="clear" w:color="auto" w:fill="auto"/>
            <w:noWrap/>
            <w:vAlign w:val="bottom"/>
            <w:hideMark/>
          </w:tcPr>
          <w:p w14:paraId="44FA3E46" w14:textId="77777777" w:rsidR="00345F72" w:rsidRPr="00345F72" w:rsidRDefault="00345F72" w:rsidP="00345F72">
            <w:pPr>
              <w:spacing w:after="0" w:line="240" w:lineRule="auto"/>
              <w:rPr>
                <w:rFonts w:ascii="Calibri" w:eastAsia="Times New Roman" w:hAnsi="Calibri" w:cs="Calibri"/>
                <w:b/>
                <w:bCs/>
                <w:color w:val="000000"/>
                <w:lang w:val="en-US"/>
              </w:rPr>
            </w:pPr>
            <w:r w:rsidRPr="00345F72">
              <w:rPr>
                <w:rFonts w:ascii="Calibri" w:eastAsia="Times New Roman" w:hAnsi="Calibri" w:cs="Calibri"/>
                <w:b/>
                <w:bCs/>
                <w:color w:val="000000"/>
                <w:lang w:val="en-US"/>
              </w:rPr>
              <w:t>ΣΥΝΟΛΟ</w:t>
            </w:r>
          </w:p>
        </w:tc>
        <w:tc>
          <w:tcPr>
            <w:tcW w:w="0" w:type="auto"/>
            <w:tcBorders>
              <w:top w:val="nil"/>
              <w:left w:val="nil"/>
              <w:bottom w:val="single" w:sz="4" w:space="0" w:color="auto"/>
              <w:right w:val="single" w:sz="4" w:space="0" w:color="auto"/>
            </w:tcBorders>
            <w:shd w:val="clear" w:color="auto" w:fill="auto"/>
            <w:noWrap/>
            <w:vAlign w:val="bottom"/>
            <w:hideMark/>
          </w:tcPr>
          <w:p w14:paraId="4F33D507" w14:textId="0171570C" w:rsidR="00345F72" w:rsidRPr="00BB1BD9" w:rsidRDefault="00345F72" w:rsidP="00345F72">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lang w:val="en-US"/>
              </w:rPr>
              <w:t>-9,</w:t>
            </w:r>
            <w:r w:rsidR="00BB1BD9">
              <w:rPr>
                <w:rFonts w:ascii="Calibri" w:eastAsia="Times New Roman" w:hAnsi="Calibri" w:cs="Calibri"/>
                <w:b/>
                <w:bCs/>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12803FF8" w14:textId="5A49BE6B" w:rsidR="00345F72" w:rsidRPr="00BB1BD9" w:rsidRDefault="00345F72" w:rsidP="00345F72">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lang w:val="en-US"/>
              </w:rPr>
              <w:t>-5,</w:t>
            </w:r>
            <w:r w:rsidR="00BB1BD9">
              <w:rPr>
                <w:rFonts w:ascii="Calibri" w:eastAsia="Times New Roman" w:hAnsi="Calibri" w:cs="Calibri"/>
                <w:b/>
                <w:bCs/>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5D22B913" w14:textId="3CD981D4" w:rsidR="00345F72" w:rsidRPr="00BB1BD9" w:rsidRDefault="00345F72" w:rsidP="00345F72">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lang w:val="en-US"/>
              </w:rPr>
              <w:t>-</w:t>
            </w:r>
            <w:r w:rsidR="00BB1BD9">
              <w:rPr>
                <w:rFonts w:ascii="Calibri" w:eastAsia="Times New Roman" w:hAnsi="Calibri" w:cs="Calibri"/>
                <w:b/>
                <w:bCs/>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14:paraId="1822FFA5" w14:textId="35AEDD27" w:rsidR="00345F72" w:rsidRPr="00BB1BD9" w:rsidRDefault="00345F72" w:rsidP="00345F72">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lang w:val="en-US"/>
              </w:rPr>
              <w:t>-6,</w:t>
            </w:r>
            <w:r w:rsidR="00BB1BD9">
              <w:rPr>
                <w:rFonts w:ascii="Calibri" w:eastAsia="Times New Roman" w:hAnsi="Calibri" w:cs="Calibri"/>
                <w:b/>
                <w:bCs/>
                <w:color w:val="000000"/>
              </w:rPr>
              <w:t>4</w:t>
            </w:r>
          </w:p>
        </w:tc>
      </w:tr>
    </w:tbl>
    <w:p w14:paraId="5FE57B4C" w14:textId="1028087D" w:rsidR="00C6184E" w:rsidRDefault="00A32D94" w:rsidP="004D0C56">
      <w:pPr>
        <w:jc w:val="both"/>
        <w:rPr>
          <w:b/>
        </w:rPr>
      </w:pPr>
      <w:r w:rsidRPr="00A32D94">
        <w:rPr>
          <w:b/>
        </w:rPr>
        <w:t xml:space="preserve">Συνολικό κόστος για τέσσερα έτη: </w:t>
      </w:r>
      <w:r>
        <w:rPr>
          <w:b/>
        </w:rPr>
        <w:t>2</w:t>
      </w:r>
      <w:r w:rsidR="00BB1BD9">
        <w:rPr>
          <w:b/>
        </w:rPr>
        <w:t>7,2</w:t>
      </w:r>
      <w:r w:rsidRPr="00A32D94">
        <w:rPr>
          <w:b/>
        </w:rPr>
        <w:t xml:space="preserve"> δισ. ευρώ.</w:t>
      </w:r>
    </w:p>
    <w:p w14:paraId="7EABC52D" w14:textId="5C76A08C" w:rsidR="004D0C56" w:rsidRPr="00A96273" w:rsidRDefault="00566775" w:rsidP="004D0C56">
      <w:pPr>
        <w:jc w:val="both"/>
        <w:rPr>
          <w:b/>
        </w:rPr>
      </w:pPr>
      <w:r>
        <w:rPr>
          <w:b/>
        </w:rPr>
        <w:t>Επιπλέον των ανωτέρω μέτρων, ο</w:t>
      </w:r>
      <w:r w:rsidR="002C7678" w:rsidRPr="00A96273">
        <w:rPr>
          <w:b/>
        </w:rPr>
        <w:t xml:space="preserve"> ΣΥΡΙΖΑ προτείνει με τα άρθρα 10-1</w:t>
      </w:r>
      <w:r w:rsidR="00EF2AF0">
        <w:rPr>
          <w:b/>
        </w:rPr>
        <w:t>1</w:t>
      </w:r>
      <w:r w:rsidR="002C7678" w:rsidRPr="00A96273">
        <w:rPr>
          <w:b/>
        </w:rPr>
        <w:t xml:space="preserve"> ενσωμάτωση των μερισμάτων, των τόκων καταθέσεων, των δικαιωμάτων και του εισοδήματος από υπεραξία μεταβίβασης κεφαλαίου στην φορολογική κλίμακα, αθροιζόμενο με τα λοιπά εισοδήματα και με φορολογία έως 49%. </w:t>
      </w:r>
    </w:p>
    <w:p w14:paraId="2CCE3AAA" w14:textId="2DC0DDCC" w:rsidR="002C7678" w:rsidRPr="00A96273" w:rsidRDefault="00A45465" w:rsidP="00247125">
      <w:pPr>
        <w:jc w:val="both"/>
        <w:rPr>
          <w:b/>
        </w:rPr>
      </w:pPr>
      <w:r>
        <w:rPr>
          <w:bCs/>
        </w:rPr>
        <w:t>Σημειώνεται ότι το 202</w:t>
      </w:r>
      <w:r w:rsidR="00EF2AF0">
        <w:rPr>
          <w:bCs/>
        </w:rPr>
        <w:t>3 (φορολογικό έτος 2022)</w:t>
      </w:r>
      <w:r>
        <w:rPr>
          <w:bCs/>
        </w:rPr>
        <w:t xml:space="preserve"> δηλώθηκαν μερίσματα ύψους 4,7 δισ. ευρώ, τόκοι και δικαιώματα ύψους 380 εκατ. ευρώ και εισοδήματα από υπεραξία μεταβίβασης κεφαλαίου ύψους 1,1 δισ. ευρώ. </w:t>
      </w:r>
      <w:r w:rsidRPr="001D4154">
        <w:rPr>
          <w:b/>
        </w:rPr>
        <w:t xml:space="preserve">Εάν όλα </w:t>
      </w:r>
      <w:r w:rsidR="005D756F">
        <w:rPr>
          <w:b/>
        </w:rPr>
        <w:t>τα ανωτέρω εισοδήματα</w:t>
      </w:r>
      <w:r w:rsidRPr="001D4154">
        <w:rPr>
          <w:b/>
        </w:rPr>
        <w:t xml:space="preserve"> προστεθούν στη κλίμακα</w:t>
      </w:r>
      <w:r w:rsidR="009E5634">
        <w:rPr>
          <w:b/>
        </w:rPr>
        <w:t xml:space="preserve"> και το δηλωθέν ποσό παραμείνει στα περσινά επίπεδα</w:t>
      </w:r>
      <w:r w:rsidRPr="001D4154">
        <w:rPr>
          <w:b/>
        </w:rPr>
        <w:t xml:space="preserve">, προκύπτει επιπλέον έσοδο της τάξης </w:t>
      </w:r>
      <w:r w:rsidR="00566775">
        <w:rPr>
          <w:b/>
        </w:rPr>
        <w:t>έως 2</w:t>
      </w:r>
      <w:r w:rsidR="00BB1BD9">
        <w:rPr>
          <w:b/>
        </w:rPr>
        <w:t>,2</w:t>
      </w:r>
      <w:r w:rsidRPr="00C6184E">
        <w:rPr>
          <w:b/>
          <w:color w:val="FF0000"/>
        </w:rPr>
        <w:t xml:space="preserve"> </w:t>
      </w:r>
      <w:r w:rsidRPr="00566775">
        <w:rPr>
          <w:b/>
        </w:rPr>
        <w:t xml:space="preserve">δισ. ευρώ </w:t>
      </w:r>
      <w:r w:rsidRPr="001D4154">
        <w:rPr>
          <w:b/>
        </w:rPr>
        <w:t>ετησίως</w:t>
      </w:r>
      <w:r w:rsidR="00614476">
        <w:rPr>
          <w:b/>
        </w:rPr>
        <w:t>.</w:t>
      </w:r>
      <w:r>
        <w:rPr>
          <w:bCs/>
        </w:rPr>
        <w:t xml:space="preserve"> </w:t>
      </w:r>
      <w:r w:rsidRPr="00A96273">
        <w:rPr>
          <w:b/>
        </w:rPr>
        <w:t xml:space="preserve">Ωστόσο, τα μερίσματα έχουν σημαντική ελαστικότητα ανάλογα με τον συντελεστή φορολόγησή τους, καθώς είναι στην επιλογή της επιχείρησης η διανομή ή μη μερίσματος και σε ποιο ύψος. Το 2019 με συντελεστή 10% δηλώθηκαν 1,4 δισ. ευρώ μερίσματα (αντίστοιχα και τα προηγούμενα έτη 2017-2018 τα μερίσματα ήταν περί του 1,3 δισ. ευρώ), με αναλογούν φόρο 142 εκατ. ευρώ. </w:t>
      </w:r>
      <w:r w:rsidRPr="00A96273">
        <w:rPr>
          <w:b/>
        </w:rPr>
        <w:lastRenderedPageBreak/>
        <w:t>Μετά την μείωση στο 5% είχαμε δηλωθέντα μερίσματα 5,3 δισ. ευρώ το 2020, 4,2 δισ. ευρώ το 2021 και 4,7 δισ. ευρώ το φορολογικό έτος 2022 με αναλογούν φόρο 233 εκατ. ευρώ. Είναι προφανές ότι σε περίπτωση αύξησης, οι επιχειρήσεις θα προτιμήσουν και πάλι, την μη διανομή μερίσματος, όπως έκαναν παλαιότερα.</w:t>
      </w:r>
      <w:r w:rsidR="00BC73F7" w:rsidRPr="00BC73F7">
        <w:t xml:space="preserve"> </w:t>
      </w:r>
      <w:r w:rsidR="00BC73F7" w:rsidRPr="00BC73F7">
        <w:rPr>
          <w:b/>
        </w:rPr>
        <w:t xml:space="preserve">Η </w:t>
      </w:r>
      <w:r w:rsidR="00BC73F7">
        <w:rPr>
          <w:b/>
        </w:rPr>
        <w:t xml:space="preserve">δε </w:t>
      </w:r>
      <w:r w:rsidR="00BC73F7" w:rsidRPr="00BC73F7">
        <w:rPr>
          <w:b/>
        </w:rPr>
        <w:t>φορολόγηση και τον τόκων καταθέσεων στην κλίμακα είναι ένα μέτρο αντίθετο προς την αποταμίευση και επικίνδυνο για φυγή κεφαλαίων από το εγχώριο τραπεζικό σύστημα</w:t>
      </w:r>
      <w:r w:rsidR="001B2223">
        <w:rPr>
          <w:b/>
        </w:rPr>
        <w:t>.</w:t>
      </w:r>
    </w:p>
    <w:p w14:paraId="45C27549" w14:textId="77777777" w:rsidR="00247125" w:rsidRDefault="00247125" w:rsidP="00247125">
      <w:pPr>
        <w:jc w:val="both"/>
        <w:rPr>
          <w:bCs/>
        </w:rPr>
      </w:pPr>
    </w:p>
    <w:p w14:paraId="1EB852D9" w14:textId="77777777" w:rsidR="004D0C56" w:rsidRDefault="004D0C56" w:rsidP="004D0C56">
      <w:pPr>
        <w:jc w:val="both"/>
        <w:rPr>
          <w:bCs/>
        </w:rPr>
      </w:pPr>
      <w:r>
        <w:rPr>
          <w:bCs/>
        </w:rPr>
        <w:t>Σχολιασμός επί των άρθρων</w:t>
      </w:r>
      <w:r w:rsidRPr="006308D7">
        <w:rPr>
          <w:bCs/>
        </w:rPr>
        <w:t>:</w:t>
      </w:r>
    </w:p>
    <w:p w14:paraId="142E3A34" w14:textId="1EFF9268" w:rsidR="00EF1881" w:rsidRPr="00326544" w:rsidRDefault="00BA1E78" w:rsidP="00D04D16">
      <w:pPr>
        <w:jc w:val="both"/>
      </w:pPr>
      <w:r w:rsidRPr="00326544">
        <w:t xml:space="preserve">Με το </w:t>
      </w:r>
      <w:r w:rsidR="00304731" w:rsidRPr="00326544">
        <w:rPr>
          <w:b/>
          <w:bCs/>
        </w:rPr>
        <w:t>1</w:t>
      </w:r>
      <w:r w:rsidR="00304731" w:rsidRPr="00326544">
        <w:rPr>
          <w:b/>
          <w:bCs/>
          <w:vertAlign w:val="superscript"/>
        </w:rPr>
        <w:t>ο</w:t>
      </w:r>
      <w:r w:rsidR="00304731" w:rsidRPr="00326544">
        <w:rPr>
          <w:b/>
          <w:bCs/>
        </w:rPr>
        <w:t xml:space="preserve"> άρθρο</w:t>
      </w:r>
      <w:r w:rsidR="00304731" w:rsidRPr="00326544">
        <w:t xml:space="preserve"> προτείνεται η τροποποίηση της φορολογική κλίμακας με μείωση των συντελεστών μεταξύ 10.000 και 100.000 ευρώ και αύξηση των συντελεστών για εισοδήματα άνω των 200.000 ευρώ με συντελεστή φορολόγησης έως και 49%.</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9"/>
        <w:gridCol w:w="1842"/>
        <w:gridCol w:w="1702"/>
      </w:tblGrid>
      <w:tr w:rsidR="00304731" w:rsidRPr="00BA1E78" w14:paraId="1E36681A" w14:textId="77777777" w:rsidTr="00304731">
        <w:trPr>
          <w:trHeight w:val="290"/>
        </w:trPr>
        <w:tc>
          <w:tcPr>
            <w:tcW w:w="3119" w:type="dxa"/>
            <w:shd w:val="clear" w:color="auto" w:fill="auto"/>
            <w:noWrap/>
            <w:vAlign w:val="bottom"/>
            <w:hideMark/>
          </w:tcPr>
          <w:p w14:paraId="5A296207" w14:textId="77777777" w:rsidR="00BA1E78" w:rsidRPr="00BA1E78" w:rsidRDefault="00BA1E78" w:rsidP="00BA1E78">
            <w:pPr>
              <w:spacing w:after="0" w:line="240" w:lineRule="auto"/>
              <w:rPr>
                <w:rFonts w:ascii="Calibri" w:eastAsia="Times New Roman" w:hAnsi="Calibri" w:cs="Calibri"/>
                <w:color w:val="000000"/>
              </w:rPr>
            </w:pPr>
            <w:r w:rsidRPr="00BA1E78">
              <w:rPr>
                <w:rFonts w:ascii="Calibri" w:eastAsia="Times New Roman" w:hAnsi="Calibri" w:cs="Calibri"/>
                <w:color w:val="000000"/>
              </w:rPr>
              <w:t>Τροποποίηση της κλίμακας φορολόγησης εισοδήματος</w:t>
            </w:r>
          </w:p>
        </w:tc>
        <w:tc>
          <w:tcPr>
            <w:tcW w:w="1842" w:type="dxa"/>
            <w:shd w:val="clear" w:color="auto" w:fill="auto"/>
            <w:noWrap/>
            <w:vAlign w:val="bottom"/>
            <w:hideMark/>
          </w:tcPr>
          <w:p w14:paraId="00A29A3D"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Κλίμακα σήμερα</w:t>
            </w:r>
          </w:p>
        </w:tc>
        <w:tc>
          <w:tcPr>
            <w:tcW w:w="1702" w:type="dxa"/>
            <w:shd w:val="clear" w:color="auto" w:fill="auto"/>
            <w:noWrap/>
            <w:vAlign w:val="bottom"/>
            <w:hideMark/>
          </w:tcPr>
          <w:p w14:paraId="7903B4A7" w14:textId="2E58ED4E" w:rsidR="00BA1E78" w:rsidRPr="00BA1E78" w:rsidRDefault="00BA1E78" w:rsidP="00BA1E78">
            <w:pPr>
              <w:spacing w:after="0" w:line="240" w:lineRule="auto"/>
              <w:rPr>
                <w:rFonts w:ascii="Calibri" w:eastAsia="Times New Roman" w:hAnsi="Calibri" w:cs="Calibri"/>
                <w:color w:val="000000"/>
              </w:rPr>
            </w:pPr>
            <w:r w:rsidRPr="00BA1E78">
              <w:rPr>
                <w:rFonts w:ascii="Calibri" w:eastAsia="Times New Roman" w:hAnsi="Calibri" w:cs="Calibri"/>
                <w:color w:val="000000"/>
                <w:lang w:val="en-US"/>
              </w:rPr>
              <w:t xml:space="preserve">Πρόταση </w:t>
            </w:r>
            <w:r w:rsidR="00304731">
              <w:rPr>
                <w:rFonts w:ascii="Calibri" w:eastAsia="Times New Roman" w:hAnsi="Calibri" w:cs="Calibri"/>
                <w:color w:val="000000"/>
              </w:rPr>
              <w:t>ΣΥΡΙΖΑ</w:t>
            </w:r>
          </w:p>
        </w:tc>
      </w:tr>
      <w:tr w:rsidR="00304731" w:rsidRPr="00BA1E78" w14:paraId="69CA6654" w14:textId="77777777" w:rsidTr="00304731">
        <w:trPr>
          <w:trHeight w:val="290"/>
        </w:trPr>
        <w:tc>
          <w:tcPr>
            <w:tcW w:w="3119" w:type="dxa"/>
            <w:shd w:val="clear" w:color="auto" w:fill="auto"/>
            <w:noWrap/>
            <w:vAlign w:val="bottom"/>
            <w:hideMark/>
          </w:tcPr>
          <w:p w14:paraId="28446F02"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0-10.000</w:t>
            </w:r>
          </w:p>
        </w:tc>
        <w:tc>
          <w:tcPr>
            <w:tcW w:w="1842" w:type="dxa"/>
            <w:shd w:val="clear" w:color="auto" w:fill="auto"/>
            <w:noWrap/>
            <w:vAlign w:val="bottom"/>
            <w:hideMark/>
          </w:tcPr>
          <w:p w14:paraId="64637717"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9%</w:t>
            </w:r>
          </w:p>
        </w:tc>
        <w:tc>
          <w:tcPr>
            <w:tcW w:w="1702" w:type="dxa"/>
            <w:shd w:val="clear" w:color="auto" w:fill="auto"/>
            <w:noWrap/>
            <w:vAlign w:val="bottom"/>
            <w:hideMark/>
          </w:tcPr>
          <w:p w14:paraId="56DCA59D"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9%</w:t>
            </w:r>
          </w:p>
        </w:tc>
      </w:tr>
      <w:tr w:rsidR="00304731" w:rsidRPr="00BA1E78" w14:paraId="22F7F250" w14:textId="77777777" w:rsidTr="00304731">
        <w:trPr>
          <w:trHeight w:val="290"/>
        </w:trPr>
        <w:tc>
          <w:tcPr>
            <w:tcW w:w="3119" w:type="dxa"/>
            <w:shd w:val="clear" w:color="auto" w:fill="auto"/>
            <w:noWrap/>
            <w:vAlign w:val="bottom"/>
            <w:hideMark/>
          </w:tcPr>
          <w:p w14:paraId="14C48CBE"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10.001-15.000</w:t>
            </w:r>
          </w:p>
        </w:tc>
        <w:tc>
          <w:tcPr>
            <w:tcW w:w="1842" w:type="dxa"/>
            <w:shd w:val="clear" w:color="auto" w:fill="auto"/>
            <w:noWrap/>
            <w:vAlign w:val="bottom"/>
            <w:hideMark/>
          </w:tcPr>
          <w:p w14:paraId="535821E6"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22%</w:t>
            </w:r>
          </w:p>
        </w:tc>
        <w:tc>
          <w:tcPr>
            <w:tcW w:w="1702" w:type="dxa"/>
            <w:shd w:val="clear" w:color="auto" w:fill="auto"/>
            <w:noWrap/>
            <w:vAlign w:val="bottom"/>
            <w:hideMark/>
          </w:tcPr>
          <w:p w14:paraId="77195C54"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10%</w:t>
            </w:r>
          </w:p>
        </w:tc>
      </w:tr>
      <w:tr w:rsidR="00304731" w:rsidRPr="00BA1E78" w14:paraId="3D4E511B" w14:textId="77777777" w:rsidTr="00304731">
        <w:trPr>
          <w:trHeight w:val="290"/>
        </w:trPr>
        <w:tc>
          <w:tcPr>
            <w:tcW w:w="3119" w:type="dxa"/>
            <w:shd w:val="clear" w:color="auto" w:fill="auto"/>
            <w:noWrap/>
            <w:vAlign w:val="bottom"/>
            <w:hideMark/>
          </w:tcPr>
          <w:p w14:paraId="1D179AD7"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15.001-20.000</w:t>
            </w:r>
          </w:p>
        </w:tc>
        <w:tc>
          <w:tcPr>
            <w:tcW w:w="1842" w:type="dxa"/>
            <w:shd w:val="clear" w:color="auto" w:fill="auto"/>
            <w:noWrap/>
            <w:vAlign w:val="bottom"/>
            <w:hideMark/>
          </w:tcPr>
          <w:p w14:paraId="2D9BF14A"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22%</w:t>
            </w:r>
          </w:p>
        </w:tc>
        <w:tc>
          <w:tcPr>
            <w:tcW w:w="1702" w:type="dxa"/>
            <w:shd w:val="clear" w:color="auto" w:fill="auto"/>
            <w:noWrap/>
            <w:vAlign w:val="bottom"/>
            <w:hideMark/>
          </w:tcPr>
          <w:p w14:paraId="52846CCA"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12%</w:t>
            </w:r>
          </w:p>
        </w:tc>
      </w:tr>
      <w:tr w:rsidR="00304731" w:rsidRPr="00BA1E78" w14:paraId="10CF2FE3" w14:textId="77777777" w:rsidTr="00304731">
        <w:trPr>
          <w:trHeight w:val="290"/>
        </w:trPr>
        <w:tc>
          <w:tcPr>
            <w:tcW w:w="3119" w:type="dxa"/>
            <w:shd w:val="clear" w:color="auto" w:fill="auto"/>
            <w:noWrap/>
            <w:vAlign w:val="bottom"/>
            <w:hideMark/>
          </w:tcPr>
          <w:p w14:paraId="008A5CD8"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20.001-26.000</w:t>
            </w:r>
          </w:p>
        </w:tc>
        <w:tc>
          <w:tcPr>
            <w:tcW w:w="1842" w:type="dxa"/>
            <w:shd w:val="clear" w:color="auto" w:fill="auto"/>
            <w:noWrap/>
            <w:vAlign w:val="bottom"/>
            <w:hideMark/>
          </w:tcPr>
          <w:p w14:paraId="57186A63"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28%</w:t>
            </w:r>
          </w:p>
        </w:tc>
        <w:tc>
          <w:tcPr>
            <w:tcW w:w="1702" w:type="dxa"/>
            <w:shd w:val="clear" w:color="auto" w:fill="auto"/>
            <w:noWrap/>
            <w:vAlign w:val="bottom"/>
            <w:hideMark/>
          </w:tcPr>
          <w:p w14:paraId="5EB64057"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15%</w:t>
            </w:r>
          </w:p>
        </w:tc>
      </w:tr>
      <w:tr w:rsidR="00304731" w:rsidRPr="00BA1E78" w14:paraId="5441A3E4" w14:textId="77777777" w:rsidTr="00304731">
        <w:trPr>
          <w:trHeight w:val="290"/>
        </w:trPr>
        <w:tc>
          <w:tcPr>
            <w:tcW w:w="3119" w:type="dxa"/>
            <w:shd w:val="clear" w:color="auto" w:fill="auto"/>
            <w:noWrap/>
            <w:vAlign w:val="bottom"/>
            <w:hideMark/>
          </w:tcPr>
          <w:p w14:paraId="776CC89D"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26.001-30.000</w:t>
            </w:r>
          </w:p>
        </w:tc>
        <w:tc>
          <w:tcPr>
            <w:tcW w:w="1842" w:type="dxa"/>
            <w:shd w:val="clear" w:color="auto" w:fill="auto"/>
            <w:noWrap/>
            <w:vAlign w:val="bottom"/>
            <w:hideMark/>
          </w:tcPr>
          <w:p w14:paraId="2359353C"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28%</w:t>
            </w:r>
          </w:p>
        </w:tc>
        <w:tc>
          <w:tcPr>
            <w:tcW w:w="1702" w:type="dxa"/>
            <w:shd w:val="clear" w:color="auto" w:fill="auto"/>
            <w:noWrap/>
            <w:vAlign w:val="bottom"/>
            <w:hideMark/>
          </w:tcPr>
          <w:p w14:paraId="305BFE90"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18%</w:t>
            </w:r>
          </w:p>
        </w:tc>
      </w:tr>
      <w:tr w:rsidR="00304731" w:rsidRPr="00BA1E78" w14:paraId="7B7D8476" w14:textId="77777777" w:rsidTr="00304731">
        <w:trPr>
          <w:trHeight w:val="290"/>
        </w:trPr>
        <w:tc>
          <w:tcPr>
            <w:tcW w:w="3119" w:type="dxa"/>
            <w:shd w:val="clear" w:color="auto" w:fill="auto"/>
            <w:noWrap/>
            <w:vAlign w:val="bottom"/>
            <w:hideMark/>
          </w:tcPr>
          <w:p w14:paraId="753949E7"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30.001-40.000</w:t>
            </w:r>
          </w:p>
        </w:tc>
        <w:tc>
          <w:tcPr>
            <w:tcW w:w="1842" w:type="dxa"/>
            <w:shd w:val="clear" w:color="auto" w:fill="auto"/>
            <w:noWrap/>
            <w:vAlign w:val="bottom"/>
            <w:hideMark/>
          </w:tcPr>
          <w:p w14:paraId="31D50839"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36%</w:t>
            </w:r>
          </w:p>
        </w:tc>
        <w:tc>
          <w:tcPr>
            <w:tcW w:w="1702" w:type="dxa"/>
            <w:shd w:val="clear" w:color="auto" w:fill="auto"/>
            <w:noWrap/>
            <w:vAlign w:val="bottom"/>
            <w:hideMark/>
          </w:tcPr>
          <w:p w14:paraId="54A93C5C"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22%</w:t>
            </w:r>
          </w:p>
        </w:tc>
      </w:tr>
      <w:tr w:rsidR="00304731" w:rsidRPr="00BA1E78" w14:paraId="7D7498B6" w14:textId="77777777" w:rsidTr="00304731">
        <w:trPr>
          <w:trHeight w:val="290"/>
        </w:trPr>
        <w:tc>
          <w:tcPr>
            <w:tcW w:w="3119" w:type="dxa"/>
            <w:shd w:val="clear" w:color="auto" w:fill="auto"/>
            <w:noWrap/>
            <w:vAlign w:val="bottom"/>
            <w:hideMark/>
          </w:tcPr>
          <w:p w14:paraId="194FAA6A"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40.001-60.000</w:t>
            </w:r>
          </w:p>
        </w:tc>
        <w:tc>
          <w:tcPr>
            <w:tcW w:w="1842" w:type="dxa"/>
            <w:shd w:val="clear" w:color="auto" w:fill="auto"/>
            <w:noWrap/>
            <w:vAlign w:val="bottom"/>
            <w:hideMark/>
          </w:tcPr>
          <w:p w14:paraId="20496E9D"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3C25492A"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30%</w:t>
            </w:r>
          </w:p>
        </w:tc>
      </w:tr>
      <w:tr w:rsidR="00304731" w:rsidRPr="00BA1E78" w14:paraId="7F6FC239" w14:textId="77777777" w:rsidTr="00304731">
        <w:trPr>
          <w:trHeight w:val="290"/>
        </w:trPr>
        <w:tc>
          <w:tcPr>
            <w:tcW w:w="3119" w:type="dxa"/>
            <w:shd w:val="clear" w:color="auto" w:fill="auto"/>
            <w:noWrap/>
            <w:vAlign w:val="bottom"/>
            <w:hideMark/>
          </w:tcPr>
          <w:p w14:paraId="7D1370C1"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60.001-80.000</w:t>
            </w:r>
          </w:p>
        </w:tc>
        <w:tc>
          <w:tcPr>
            <w:tcW w:w="1842" w:type="dxa"/>
            <w:shd w:val="clear" w:color="auto" w:fill="auto"/>
            <w:noWrap/>
            <w:vAlign w:val="bottom"/>
            <w:hideMark/>
          </w:tcPr>
          <w:p w14:paraId="6DD99904"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4FD026DD"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36%</w:t>
            </w:r>
          </w:p>
        </w:tc>
      </w:tr>
      <w:tr w:rsidR="00304731" w:rsidRPr="00BA1E78" w14:paraId="7B2FE35C" w14:textId="77777777" w:rsidTr="00304731">
        <w:trPr>
          <w:trHeight w:val="290"/>
        </w:trPr>
        <w:tc>
          <w:tcPr>
            <w:tcW w:w="3119" w:type="dxa"/>
            <w:shd w:val="clear" w:color="auto" w:fill="auto"/>
            <w:noWrap/>
            <w:vAlign w:val="bottom"/>
            <w:hideMark/>
          </w:tcPr>
          <w:p w14:paraId="7D7B1205"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80.001-100.000</w:t>
            </w:r>
          </w:p>
        </w:tc>
        <w:tc>
          <w:tcPr>
            <w:tcW w:w="1842" w:type="dxa"/>
            <w:shd w:val="clear" w:color="auto" w:fill="auto"/>
            <w:noWrap/>
            <w:vAlign w:val="bottom"/>
            <w:hideMark/>
          </w:tcPr>
          <w:p w14:paraId="756F39D5"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470A8F7F"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38%</w:t>
            </w:r>
          </w:p>
        </w:tc>
      </w:tr>
      <w:tr w:rsidR="00304731" w:rsidRPr="00BA1E78" w14:paraId="5282FF4C" w14:textId="77777777" w:rsidTr="00304731">
        <w:trPr>
          <w:trHeight w:val="290"/>
        </w:trPr>
        <w:tc>
          <w:tcPr>
            <w:tcW w:w="3119" w:type="dxa"/>
            <w:shd w:val="clear" w:color="auto" w:fill="auto"/>
            <w:noWrap/>
            <w:vAlign w:val="bottom"/>
            <w:hideMark/>
          </w:tcPr>
          <w:p w14:paraId="773233A9"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100.001-200.000</w:t>
            </w:r>
          </w:p>
        </w:tc>
        <w:tc>
          <w:tcPr>
            <w:tcW w:w="1842" w:type="dxa"/>
            <w:shd w:val="clear" w:color="auto" w:fill="auto"/>
            <w:noWrap/>
            <w:vAlign w:val="bottom"/>
            <w:hideMark/>
          </w:tcPr>
          <w:p w14:paraId="5BF4C252"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57CF9B3B"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r>
      <w:tr w:rsidR="00304731" w:rsidRPr="00BA1E78" w14:paraId="17F8C20D" w14:textId="77777777" w:rsidTr="00304731">
        <w:trPr>
          <w:trHeight w:val="290"/>
        </w:trPr>
        <w:tc>
          <w:tcPr>
            <w:tcW w:w="3119" w:type="dxa"/>
            <w:shd w:val="clear" w:color="auto" w:fill="auto"/>
            <w:noWrap/>
            <w:vAlign w:val="bottom"/>
            <w:hideMark/>
          </w:tcPr>
          <w:p w14:paraId="0688F0C9"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200.0001-400.000</w:t>
            </w:r>
          </w:p>
        </w:tc>
        <w:tc>
          <w:tcPr>
            <w:tcW w:w="1842" w:type="dxa"/>
            <w:shd w:val="clear" w:color="auto" w:fill="auto"/>
            <w:noWrap/>
            <w:vAlign w:val="bottom"/>
            <w:hideMark/>
          </w:tcPr>
          <w:p w14:paraId="4E8A1141"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21C4DA55"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46%</w:t>
            </w:r>
          </w:p>
        </w:tc>
      </w:tr>
      <w:tr w:rsidR="00304731" w:rsidRPr="00BA1E78" w14:paraId="30475514" w14:textId="77777777" w:rsidTr="00304731">
        <w:trPr>
          <w:trHeight w:val="290"/>
        </w:trPr>
        <w:tc>
          <w:tcPr>
            <w:tcW w:w="3119" w:type="dxa"/>
            <w:shd w:val="clear" w:color="auto" w:fill="auto"/>
            <w:noWrap/>
            <w:vAlign w:val="bottom"/>
            <w:hideMark/>
          </w:tcPr>
          <w:p w14:paraId="3D393807"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400.001-500.000</w:t>
            </w:r>
          </w:p>
        </w:tc>
        <w:tc>
          <w:tcPr>
            <w:tcW w:w="1842" w:type="dxa"/>
            <w:shd w:val="clear" w:color="auto" w:fill="auto"/>
            <w:noWrap/>
            <w:vAlign w:val="bottom"/>
            <w:hideMark/>
          </w:tcPr>
          <w:p w14:paraId="57272D13"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14F90527"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47%</w:t>
            </w:r>
          </w:p>
        </w:tc>
      </w:tr>
      <w:tr w:rsidR="00304731" w:rsidRPr="00BA1E78" w14:paraId="02885C24" w14:textId="77777777" w:rsidTr="00304731">
        <w:trPr>
          <w:trHeight w:val="290"/>
        </w:trPr>
        <w:tc>
          <w:tcPr>
            <w:tcW w:w="3119" w:type="dxa"/>
            <w:shd w:val="clear" w:color="auto" w:fill="auto"/>
            <w:noWrap/>
            <w:vAlign w:val="bottom"/>
            <w:hideMark/>
          </w:tcPr>
          <w:p w14:paraId="3B97A4AD"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500.001-900.000</w:t>
            </w:r>
          </w:p>
        </w:tc>
        <w:tc>
          <w:tcPr>
            <w:tcW w:w="1842" w:type="dxa"/>
            <w:shd w:val="clear" w:color="auto" w:fill="auto"/>
            <w:noWrap/>
            <w:vAlign w:val="bottom"/>
            <w:hideMark/>
          </w:tcPr>
          <w:p w14:paraId="43955478"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52D64E58"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48%</w:t>
            </w:r>
          </w:p>
        </w:tc>
      </w:tr>
      <w:tr w:rsidR="00304731" w:rsidRPr="00BA1E78" w14:paraId="18400F10" w14:textId="77777777" w:rsidTr="00304731">
        <w:trPr>
          <w:trHeight w:val="290"/>
        </w:trPr>
        <w:tc>
          <w:tcPr>
            <w:tcW w:w="3119" w:type="dxa"/>
            <w:shd w:val="clear" w:color="auto" w:fill="auto"/>
            <w:noWrap/>
            <w:vAlign w:val="bottom"/>
            <w:hideMark/>
          </w:tcPr>
          <w:p w14:paraId="44438035" w14:textId="77777777" w:rsidR="00BA1E78" w:rsidRPr="00BA1E78" w:rsidRDefault="00BA1E78" w:rsidP="00BA1E78">
            <w:pPr>
              <w:spacing w:after="0" w:line="240" w:lineRule="auto"/>
              <w:rPr>
                <w:rFonts w:ascii="Calibri" w:eastAsia="Times New Roman" w:hAnsi="Calibri" w:cs="Calibri"/>
                <w:color w:val="000000"/>
                <w:lang w:val="en-US"/>
              </w:rPr>
            </w:pPr>
            <w:r w:rsidRPr="00BA1E78">
              <w:rPr>
                <w:rFonts w:ascii="Calibri" w:eastAsia="Times New Roman" w:hAnsi="Calibri" w:cs="Calibri"/>
                <w:color w:val="000000"/>
                <w:lang w:val="en-US"/>
              </w:rPr>
              <w:t>&gt;900.000</w:t>
            </w:r>
          </w:p>
        </w:tc>
        <w:tc>
          <w:tcPr>
            <w:tcW w:w="1842" w:type="dxa"/>
            <w:shd w:val="clear" w:color="auto" w:fill="auto"/>
            <w:noWrap/>
            <w:vAlign w:val="bottom"/>
            <w:hideMark/>
          </w:tcPr>
          <w:p w14:paraId="6C9A54C2"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44%</w:t>
            </w:r>
          </w:p>
        </w:tc>
        <w:tc>
          <w:tcPr>
            <w:tcW w:w="1702" w:type="dxa"/>
            <w:shd w:val="clear" w:color="auto" w:fill="auto"/>
            <w:noWrap/>
            <w:vAlign w:val="bottom"/>
            <w:hideMark/>
          </w:tcPr>
          <w:p w14:paraId="77B28FB5" w14:textId="77777777" w:rsidR="00BA1E78" w:rsidRPr="00BA1E78" w:rsidRDefault="00BA1E78" w:rsidP="00BA1E78">
            <w:pPr>
              <w:spacing w:after="0" w:line="240" w:lineRule="auto"/>
              <w:jc w:val="right"/>
              <w:rPr>
                <w:rFonts w:ascii="Calibri" w:eastAsia="Times New Roman" w:hAnsi="Calibri" w:cs="Calibri"/>
                <w:color w:val="000000"/>
                <w:lang w:val="en-US"/>
              </w:rPr>
            </w:pPr>
            <w:r w:rsidRPr="00BA1E78">
              <w:rPr>
                <w:rFonts w:ascii="Calibri" w:eastAsia="Times New Roman" w:hAnsi="Calibri" w:cs="Calibri"/>
                <w:color w:val="000000"/>
                <w:lang w:val="en-US"/>
              </w:rPr>
              <w:t>49%</w:t>
            </w:r>
          </w:p>
        </w:tc>
      </w:tr>
    </w:tbl>
    <w:p w14:paraId="0FD738C3" w14:textId="77777777" w:rsidR="00BA1E78" w:rsidRDefault="00BA1E78" w:rsidP="00D04D16">
      <w:pPr>
        <w:jc w:val="both"/>
        <w:rPr>
          <w:sz w:val="24"/>
          <w:szCs w:val="24"/>
        </w:rPr>
      </w:pPr>
    </w:p>
    <w:p w14:paraId="4CBD5F78" w14:textId="489E278C" w:rsidR="00BA1E78" w:rsidRDefault="00326544" w:rsidP="00D04D16">
      <w:pPr>
        <w:jc w:val="both"/>
      </w:pPr>
      <w:r w:rsidRPr="00326544">
        <w:t xml:space="preserve">Με το </w:t>
      </w:r>
      <w:r w:rsidRPr="00C41E27">
        <w:rPr>
          <w:b/>
          <w:bCs/>
        </w:rPr>
        <w:t>2</w:t>
      </w:r>
      <w:r w:rsidRPr="00C41E27">
        <w:rPr>
          <w:b/>
          <w:bCs/>
          <w:vertAlign w:val="superscript"/>
        </w:rPr>
        <w:t>ο</w:t>
      </w:r>
      <w:r w:rsidRPr="00C41E27">
        <w:rPr>
          <w:b/>
          <w:bCs/>
        </w:rPr>
        <w:t xml:space="preserve"> άρθρο</w:t>
      </w:r>
      <w:r w:rsidRPr="00326544">
        <w:t xml:space="preserve">  </w:t>
      </w:r>
      <w:r w:rsidR="00382956">
        <w:t>προτείνεται η αύξηση της μείωσης φόρου (και άρα το αφορολόγητο όριο) από 777 ευρώ (αφορολόγητο 8.636) σε 900 ευρώ (αφορολόγητο 10.000 ευρώ) για τους φορολογούμενους χωρίς τέκνα, όσο ισχύει για τους φορολογούμενους με 1 τέκνο.</w:t>
      </w:r>
    </w:p>
    <w:p w14:paraId="59B0C0EB" w14:textId="04100BC4" w:rsidR="00382956" w:rsidRPr="00326544" w:rsidRDefault="00382956" w:rsidP="00382956">
      <w:pPr>
        <w:pStyle w:val="ListParagraph"/>
        <w:numPr>
          <w:ilvl w:val="0"/>
          <w:numId w:val="39"/>
        </w:numPr>
        <w:jc w:val="both"/>
      </w:pPr>
      <w:r>
        <w:t>Σημειώνεται ότι αυτό το μέτρο είναι έναντι του πλαισίου αντιμετώπισης του δημογραφικού προβλήματος που σήμερα δίνονται κίνητρα για την απόκτηση τέκνου (και ιδίως του πρώτου). Σημειώνεται ότι μόλις πρόσφατα από 1/1/2024, αυξήθηκε το αφορολόγητο για οικογένειες με 1 παιδί από τα 9.000 στα 10.000 ευρώ (και αντίστοιχα κατά 1.000 ευρώ για τις λοιπές οικογένειες με παιδιά).</w:t>
      </w:r>
    </w:p>
    <w:tbl>
      <w:tblPr>
        <w:tblW w:w="8789"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1701"/>
        <w:gridCol w:w="1276"/>
        <w:gridCol w:w="1559"/>
        <w:gridCol w:w="1276"/>
      </w:tblGrid>
      <w:tr w:rsidR="00382956" w:rsidRPr="00382956" w14:paraId="33A496E0" w14:textId="77777777" w:rsidTr="00416C4F">
        <w:trPr>
          <w:trHeight w:val="290"/>
        </w:trPr>
        <w:tc>
          <w:tcPr>
            <w:tcW w:w="2977" w:type="dxa"/>
            <w:shd w:val="clear" w:color="auto" w:fill="auto"/>
            <w:noWrap/>
            <w:vAlign w:val="bottom"/>
            <w:hideMark/>
          </w:tcPr>
          <w:p w14:paraId="5A9DADDA" w14:textId="77777777" w:rsidR="00382956" w:rsidRPr="00382956" w:rsidRDefault="00382956" w:rsidP="00382956">
            <w:pPr>
              <w:spacing w:after="0" w:line="240" w:lineRule="auto"/>
              <w:rPr>
                <w:rFonts w:ascii="Calibri" w:eastAsia="Times New Roman" w:hAnsi="Calibri" w:cs="Calibri"/>
                <w:color w:val="000000"/>
              </w:rPr>
            </w:pPr>
            <w:r w:rsidRPr="00382956">
              <w:rPr>
                <w:rFonts w:ascii="Calibri" w:eastAsia="Times New Roman" w:hAnsi="Calibri" w:cs="Calibri"/>
                <w:color w:val="000000"/>
              </w:rPr>
              <w:t>Οικογενειακή κατάσταση και μειώσεις φόρου εισοδήματος</w:t>
            </w:r>
          </w:p>
        </w:tc>
        <w:tc>
          <w:tcPr>
            <w:tcW w:w="1701" w:type="dxa"/>
            <w:shd w:val="clear" w:color="auto" w:fill="auto"/>
            <w:noWrap/>
            <w:vAlign w:val="bottom"/>
            <w:hideMark/>
          </w:tcPr>
          <w:p w14:paraId="6E236347" w14:textId="3DDBDCF5"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w:t>
            </w:r>
            <w:r>
              <w:rPr>
                <w:rFonts w:ascii="Calibri" w:eastAsia="Times New Roman" w:hAnsi="Calibri" w:cs="Calibri"/>
                <w:color w:val="000000"/>
              </w:rPr>
              <w:t>ίω</w:t>
            </w:r>
            <w:r w:rsidRPr="00382956">
              <w:rPr>
                <w:rFonts w:ascii="Calibri" w:eastAsia="Times New Roman" w:hAnsi="Calibri" w:cs="Calibri"/>
                <w:color w:val="000000"/>
                <w:lang w:val="en-US"/>
              </w:rPr>
              <w:t>ση φόρου σήμερα</w:t>
            </w:r>
          </w:p>
        </w:tc>
        <w:tc>
          <w:tcPr>
            <w:tcW w:w="1276" w:type="dxa"/>
            <w:shd w:val="clear" w:color="auto" w:fill="auto"/>
            <w:noWrap/>
            <w:vAlign w:val="bottom"/>
            <w:hideMark/>
          </w:tcPr>
          <w:p w14:paraId="5EA487E3"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Αφορολόγητο σήμερα</w:t>
            </w:r>
          </w:p>
        </w:tc>
        <w:tc>
          <w:tcPr>
            <w:tcW w:w="1559" w:type="dxa"/>
            <w:shd w:val="clear" w:color="auto" w:fill="auto"/>
            <w:noWrap/>
            <w:vAlign w:val="bottom"/>
            <w:hideMark/>
          </w:tcPr>
          <w:p w14:paraId="68FDFB49"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Μείωση φόρου ΣΥΡΙΖΑ</w:t>
            </w:r>
          </w:p>
        </w:tc>
        <w:tc>
          <w:tcPr>
            <w:tcW w:w="1276" w:type="dxa"/>
            <w:shd w:val="clear" w:color="auto" w:fill="auto"/>
            <w:noWrap/>
            <w:vAlign w:val="bottom"/>
            <w:hideMark/>
          </w:tcPr>
          <w:p w14:paraId="729E07F8" w14:textId="646B37AB"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Αφ</w:t>
            </w:r>
            <w:r w:rsidR="00416C4F">
              <w:rPr>
                <w:rFonts w:ascii="Calibri" w:eastAsia="Times New Roman" w:hAnsi="Calibri" w:cs="Calibri"/>
                <w:color w:val="000000"/>
              </w:rPr>
              <w:t>ο</w:t>
            </w:r>
            <w:r w:rsidRPr="00382956">
              <w:rPr>
                <w:rFonts w:ascii="Calibri" w:eastAsia="Times New Roman" w:hAnsi="Calibri" w:cs="Calibri"/>
                <w:color w:val="000000"/>
                <w:lang w:val="en-US"/>
              </w:rPr>
              <w:t>ρολόγητο ΣΥΡΙΖΑ</w:t>
            </w:r>
          </w:p>
        </w:tc>
      </w:tr>
      <w:tr w:rsidR="00382956" w:rsidRPr="00382956" w14:paraId="603000F0" w14:textId="77777777" w:rsidTr="00416C4F">
        <w:trPr>
          <w:trHeight w:val="290"/>
        </w:trPr>
        <w:tc>
          <w:tcPr>
            <w:tcW w:w="2977" w:type="dxa"/>
            <w:shd w:val="clear" w:color="auto" w:fill="auto"/>
            <w:noWrap/>
            <w:vAlign w:val="bottom"/>
            <w:hideMark/>
          </w:tcPr>
          <w:p w14:paraId="4C3CEADD"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Χωρίς τέκνα</w:t>
            </w:r>
          </w:p>
        </w:tc>
        <w:tc>
          <w:tcPr>
            <w:tcW w:w="1701" w:type="dxa"/>
            <w:shd w:val="clear" w:color="auto" w:fill="auto"/>
            <w:noWrap/>
            <w:vAlign w:val="bottom"/>
            <w:hideMark/>
          </w:tcPr>
          <w:p w14:paraId="580AF1CE"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777</w:t>
            </w:r>
          </w:p>
        </w:tc>
        <w:tc>
          <w:tcPr>
            <w:tcW w:w="1276" w:type="dxa"/>
            <w:shd w:val="clear" w:color="auto" w:fill="auto"/>
            <w:noWrap/>
            <w:vAlign w:val="bottom"/>
            <w:hideMark/>
          </w:tcPr>
          <w:p w14:paraId="36EB5DA7"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8.636</w:t>
            </w:r>
          </w:p>
        </w:tc>
        <w:tc>
          <w:tcPr>
            <w:tcW w:w="1559" w:type="dxa"/>
            <w:shd w:val="clear" w:color="auto" w:fill="auto"/>
            <w:noWrap/>
            <w:vAlign w:val="bottom"/>
            <w:hideMark/>
          </w:tcPr>
          <w:p w14:paraId="7E74A622" w14:textId="77777777" w:rsidR="00382956" w:rsidRPr="00382956" w:rsidRDefault="00382956" w:rsidP="00382956">
            <w:pPr>
              <w:spacing w:after="0" w:line="240" w:lineRule="auto"/>
              <w:jc w:val="right"/>
              <w:rPr>
                <w:rFonts w:ascii="Calibri" w:eastAsia="Times New Roman" w:hAnsi="Calibri" w:cs="Calibri"/>
                <w:b/>
                <w:bCs/>
                <w:color w:val="000000"/>
                <w:lang w:val="en-US"/>
              </w:rPr>
            </w:pPr>
            <w:r w:rsidRPr="00382956">
              <w:rPr>
                <w:rFonts w:ascii="Calibri" w:eastAsia="Times New Roman" w:hAnsi="Calibri" w:cs="Calibri"/>
                <w:b/>
                <w:bCs/>
                <w:color w:val="000000"/>
                <w:lang w:val="en-US"/>
              </w:rPr>
              <w:t>900</w:t>
            </w:r>
          </w:p>
        </w:tc>
        <w:tc>
          <w:tcPr>
            <w:tcW w:w="1276" w:type="dxa"/>
            <w:shd w:val="clear" w:color="auto" w:fill="auto"/>
            <w:noWrap/>
            <w:vAlign w:val="bottom"/>
            <w:hideMark/>
          </w:tcPr>
          <w:p w14:paraId="5C1657B7" w14:textId="77777777" w:rsidR="00382956" w:rsidRPr="00382956" w:rsidRDefault="00382956" w:rsidP="00382956">
            <w:pPr>
              <w:spacing w:after="0" w:line="240" w:lineRule="auto"/>
              <w:jc w:val="right"/>
              <w:rPr>
                <w:rFonts w:ascii="Calibri" w:eastAsia="Times New Roman" w:hAnsi="Calibri" w:cs="Calibri"/>
                <w:b/>
                <w:bCs/>
                <w:color w:val="000000"/>
                <w:lang w:val="en-US"/>
              </w:rPr>
            </w:pPr>
            <w:r w:rsidRPr="00382956">
              <w:rPr>
                <w:rFonts w:ascii="Calibri" w:eastAsia="Times New Roman" w:hAnsi="Calibri" w:cs="Calibri"/>
                <w:b/>
                <w:bCs/>
                <w:color w:val="000000"/>
                <w:lang w:val="en-US"/>
              </w:rPr>
              <w:t>10.000</w:t>
            </w:r>
          </w:p>
        </w:tc>
      </w:tr>
      <w:tr w:rsidR="00382956" w:rsidRPr="00382956" w14:paraId="43616A6F" w14:textId="77777777" w:rsidTr="00416C4F">
        <w:trPr>
          <w:trHeight w:val="290"/>
        </w:trPr>
        <w:tc>
          <w:tcPr>
            <w:tcW w:w="2977" w:type="dxa"/>
            <w:shd w:val="clear" w:color="auto" w:fill="auto"/>
            <w:noWrap/>
            <w:vAlign w:val="bottom"/>
            <w:hideMark/>
          </w:tcPr>
          <w:p w14:paraId="2CA0E1E3"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 1 τέκνο</w:t>
            </w:r>
          </w:p>
        </w:tc>
        <w:tc>
          <w:tcPr>
            <w:tcW w:w="1701" w:type="dxa"/>
            <w:shd w:val="clear" w:color="auto" w:fill="auto"/>
            <w:noWrap/>
            <w:vAlign w:val="bottom"/>
            <w:hideMark/>
          </w:tcPr>
          <w:p w14:paraId="33068E1E"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900</w:t>
            </w:r>
          </w:p>
        </w:tc>
        <w:tc>
          <w:tcPr>
            <w:tcW w:w="1276" w:type="dxa"/>
            <w:shd w:val="clear" w:color="auto" w:fill="auto"/>
            <w:noWrap/>
            <w:vAlign w:val="bottom"/>
            <w:hideMark/>
          </w:tcPr>
          <w:p w14:paraId="1D86E7C6"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10.000</w:t>
            </w:r>
          </w:p>
        </w:tc>
        <w:tc>
          <w:tcPr>
            <w:tcW w:w="1559" w:type="dxa"/>
            <w:shd w:val="clear" w:color="auto" w:fill="auto"/>
            <w:noWrap/>
            <w:vAlign w:val="bottom"/>
            <w:hideMark/>
          </w:tcPr>
          <w:p w14:paraId="5B76465C"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900</w:t>
            </w:r>
          </w:p>
        </w:tc>
        <w:tc>
          <w:tcPr>
            <w:tcW w:w="1276" w:type="dxa"/>
            <w:shd w:val="clear" w:color="auto" w:fill="auto"/>
            <w:noWrap/>
            <w:vAlign w:val="bottom"/>
            <w:hideMark/>
          </w:tcPr>
          <w:p w14:paraId="6376106F"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10.000</w:t>
            </w:r>
          </w:p>
        </w:tc>
      </w:tr>
      <w:tr w:rsidR="00382956" w:rsidRPr="00382956" w14:paraId="14C6D6C0" w14:textId="77777777" w:rsidTr="00416C4F">
        <w:trPr>
          <w:trHeight w:val="290"/>
        </w:trPr>
        <w:tc>
          <w:tcPr>
            <w:tcW w:w="2977" w:type="dxa"/>
            <w:shd w:val="clear" w:color="auto" w:fill="auto"/>
            <w:noWrap/>
            <w:vAlign w:val="bottom"/>
            <w:hideMark/>
          </w:tcPr>
          <w:p w14:paraId="0B3D04B0"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 2 τέκνα</w:t>
            </w:r>
          </w:p>
        </w:tc>
        <w:tc>
          <w:tcPr>
            <w:tcW w:w="1701" w:type="dxa"/>
            <w:shd w:val="clear" w:color="auto" w:fill="auto"/>
            <w:noWrap/>
            <w:vAlign w:val="bottom"/>
            <w:hideMark/>
          </w:tcPr>
          <w:p w14:paraId="3EE977AE"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1.120</w:t>
            </w:r>
          </w:p>
        </w:tc>
        <w:tc>
          <w:tcPr>
            <w:tcW w:w="1276" w:type="dxa"/>
            <w:shd w:val="clear" w:color="auto" w:fill="auto"/>
            <w:noWrap/>
            <w:vAlign w:val="bottom"/>
            <w:hideMark/>
          </w:tcPr>
          <w:p w14:paraId="1DA11A57"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11.000</w:t>
            </w:r>
          </w:p>
        </w:tc>
        <w:tc>
          <w:tcPr>
            <w:tcW w:w="1559" w:type="dxa"/>
            <w:shd w:val="clear" w:color="auto" w:fill="auto"/>
            <w:noWrap/>
            <w:vAlign w:val="bottom"/>
            <w:hideMark/>
          </w:tcPr>
          <w:p w14:paraId="487C4410"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1.120</w:t>
            </w:r>
          </w:p>
        </w:tc>
        <w:tc>
          <w:tcPr>
            <w:tcW w:w="1276" w:type="dxa"/>
            <w:shd w:val="clear" w:color="auto" w:fill="auto"/>
            <w:noWrap/>
            <w:vAlign w:val="bottom"/>
            <w:hideMark/>
          </w:tcPr>
          <w:p w14:paraId="624BE616"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11.000</w:t>
            </w:r>
          </w:p>
        </w:tc>
      </w:tr>
      <w:tr w:rsidR="00382956" w:rsidRPr="00382956" w14:paraId="5AC67006" w14:textId="77777777" w:rsidTr="00416C4F">
        <w:trPr>
          <w:trHeight w:val="290"/>
        </w:trPr>
        <w:tc>
          <w:tcPr>
            <w:tcW w:w="2977" w:type="dxa"/>
            <w:shd w:val="clear" w:color="auto" w:fill="auto"/>
            <w:noWrap/>
            <w:vAlign w:val="bottom"/>
            <w:hideMark/>
          </w:tcPr>
          <w:p w14:paraId="2B2947C9"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 3 τέκνα</w:t>
            </w:r>
          </w:p>
        </w:tc>
        <w:tc>
          <w:tcPr>
            <w:tcW w:w="1701" w:type="dxa"/>
            <w:shd w:val="clear" w:color="auto" w:fill="auto"/>
            <w:noWrap/>
            <w:vAlign w:val="bottom"/>
            <w:hideMark/>
          </w:tcPr>
          <w:p w14:paraId="69B3C129"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1.340</w:t>
            </w:r>
          </w:p>
        </w:tc>
        <w:tc>
          <w:tcPr>
            <w:tcW w:w="1276" w:type="dxa"/>
            <w:shd w:val="clear" w:color="auto" w:fill="auto"/>
            <w:noWrap/>
            <w:vAlign w:val="bottom"/>
            <w:hideMark/>
          </w:tcPr>
          <w:p w14:paraId="30062540"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12.000</w:t>
            </w:r>
          </w:p>
        </w:tc>
        <w:tc>
          <w:tcPr>
            <w:tcW w:w="1559" w:type="dxa"/>
            <w:shd w:val="clear" w:color="auto" w:fill="auto"/>
            <w:noWrap/>
            <w:vAlign w:val="bottom"/>
            <w:hideMark/>
          </w:tcPr>
          <w:p w14:paraId="76CFDC8B"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1.340</w:t>
            </w:r>
          </w:p>
        </w:tc>
        <w:tc>
          <w:tcPr>
            <w:tcW w:w="1276" w:type="dxa"/>
            <w:shd w:val="clear" w:color="auto" w:fill="auto"/>
            <w:noWrap/>
            <w:vAlign w:val="bottom"/>
            <w:hideMark/>
          </w:tcPr>
          <w:p w14:paraId="1F4CA79A"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12.000</w:t>
            </w:r>
          </w:p>
        </w:tc>
      </w:tr>
      <w:tr w:rsidR="00382956" w:rsidRPr="00382956" w14:paraId="65AFEFD9" w14:textId="77777777" w:rsidTr="00416C4F">
        <w:trPr>
          <w:trHeight w:val="290"/>
        </w:trPr>
        <w:tc>
          <w:tcPr>
            <w:tcW w:w="2977" w:type="dxa"/>
            <w:shd w:val="clear" w:color="auto" w:fill="auto"/>
            <w:noWrap/>
            <w:vAlign w:val="bottom"/>
            <w:hideMark/>
          </w:tcPr>
          <w:p w14:paraId="09C46F0C"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 4 τέκνα</w:t>
            </w:r>
          </w:p>
        </w:tc>
        <w:tc>
          <w:tcPr>
            <w:tcW w:w="1701" w:type="dxa"/>
            <w:shd w:val="clear" w:color="auto" w:fill="auto"/>
            <w:noWrap/>
            <w:vAlign w:val="bottom"/>
            <w:hideMark/>
          </w:tcPr>
          <w:p w14:paraId="4FE4E32B"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1.580</w:t>
            </w:r>
          </w:p>
        </w:tc>
        <w:tc>
          <w:tcPr>
            <w:tcW w:w="1276" w:type="dxa"/>
            <w:shd w:val="clear" w:color="auto" w:fill="auto"/>
            <w:noWrap/>
            <w:vAlign w:val="bottom"/>
            <w:hideMark/>
          </w:tcPr>
          <w:p w14:paraId="1AEBD139"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13.000</w:t>
            </w:r>
          </w:p>
        </w:tc>
        <w:tc>
          <w:tcPr>
            <w:tcW w:w="1559" w:type="dxa"/>
            <w:shd w:val="clear" w:color="auto" w:fill="auto"/>
            <w:noWrap/>
            <w:vAlign w:val="bottom"/>
            <w:hideMark/>
          </w:tcPr>
          <w:p w14:paraId="63C6410F"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1.580</w:t>
            </w:r>
          </w:p>
        </w:tc>
        <w:tc>
          <w:tcPr>
            <w:tcW w:w="1276" w:type="dxa"/>
            <w:shd w:val="clear" w:color="auto" w:fill="auto"/>
            <w:noWrap/>
            <w:vAlign w:val="bottom"/>
            <w:hideMark/>
          </w:tcPr>
          <w:p w14:paraId="47BAD5FC"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13.000</w:t>
            </w:r>
          </w:p>
        </w:tc>
      </w:tr>
      <w:tr w:rsidR="00382956" w:rsidRPr="00382956" w14:paraId="6068B1F2" w14:textId="77777777" w:rsidTr="00416C4F">
        <w:trPr>
          <w:trHeight w:val="290"/>
        </w:trPr>
        <w:tc>
          <w:tcPr>
            <w:tcW w:w="2977" w:type="dxa"/>
            <w:shd w:val="clear" w:color="auto" w:fill="auto"/>
            <w:noWrap/>
            <w:vAlign w:val="bottom"/>
            <w:hideMark/>
          </w:tcPr>
          <w:p w14:paraId="299146BA" w14:textId="77777777" w:rsidR="00382956" w:rsidRPr="00382956" w:rsidRDefault="00382956" w:rsidP="00382956">
            <w:pPr>
              <w:spacing w:after="0" w:line="240" w:lineRule="auto"/>
              <w:rPr>
                <w:rFonts w:ascii="Calibri" w:eastAsia="Times New Roman" w:hAnsi="Calibri" w:cs="Calibri"/>
                <w:color w:val="000000"/>
                <w:lang w:val="en-US"/>
              </w:rPr>
            </w:pPr>
            <w:r w:rsidRPr="00382956">
              <w:rPr>
                <w:rFonts w:ascii="Calibri" w:eastAsia="Times New Roman" w:hAnsi="Calibri" w:cs="Calibri"/>
                <w:color w:val="000000"/>
                <w:lang w:val="en-US"/>
              </w:rPr>
              <w:t>Με 5 τέκνα</w:t>
            </w:r>
          </w:p>
        </w:tc>
        <w:tc>
          <w:tcPr>
            <w:tcW w:w="1701" w:type="dxa"/>
            <w:shd w:val="clear" w:color="auto" w:fill="auto"/>
            <w:noWrap/>
            <w:vAlign w:val="bottom"/>
            <w:hideMark/>
          </w:tcPr>
          <w:p w14:paraId="455320D1"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1.780</w:t>
            </w:r>
          </w:p>
        </w:tc>
        <w:tc>
          <w:tcPr>
            <w:tcW w:w="1276" w:type="dxa"/>
            <w:shd w:val="clear" w:color="auto" w:fill="auto"/>
            <w:noWrap/>
            <w:vAlign w:val="bottom"/>
            <w:hideMark/>
          </w:tcPr>
          <w:p w14:paraId="211EC433"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14.000</w:t>
            </w:r>
          </w:p>
        </w:tc>
        <w:tc>
          <w:tcPr>
            <w:tcW w:w="1559" w:type="dxa"/>
            <w:shd w:val="clear" w:color="auto" w:fill="auto"/>
            <w:noWrap/>
            <w:vAlign w:val="bottom"/>
            <w:hideMark/>
          </w:tcPr>
          <w:p w14:paraId="34599CF0"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1.780</w:t>
            </w:r>
          </w:p>
        </w:tc>
        <w:tc>
          <w:tcPr>
            <w:tcW w:w="1276" w:type="dxa"/>
            <w:shd w:val="clear" w:color="auto" w:fill="auto"/>
            <w:noWrap/>
            <w:vAlign w:val="bottom"/>
            <w:hideMark/>
          </w:tcPr>
          <w:p w14:paraId="6CE676CE" w14:textId="77777777" w:rsidR="00382956" w:rsidRPr="00382956" w:rsidRDefault="00382956" w:rsidP="00382956">
            <w:pPr>
              <w:spacing w:after="0" w:line="240" w:lineRule="auto"/>
              <w:jc w:val="right"/>
              <w:rPr>
                <w:rFonts w:ascii="Calibri" w:eastAsia="Times New Roman" w:hAnsi="Calibri" w:cs="Calibri"/>
                <w:color w:val="000000"/>
                <w:lang w:val="en-US"/>
              </w:rPr>
            </w:pPr>
            <w:r w:rsidRPr="00382956">
              <w:rPr>
                <w:rFonts w:ascii="Calibri" w:eastAsia="Times New Roman" w:hAnsi="Calibri" w:cs="Calibri"/>
                <w:color w:val="000000"/>
                <w:lang w:val="en-US"/>
              </w:rPr>
              <w:t>14.000</w:t>
            </w:r>
          </w:p>
        </w:tc>
      </w:tr>
    </w:tbl>
    <w:p w14:paraId="77851E5A" w14:textId="40A555BC" w:rsidR="00382956" w:rsidRDefault="00382956" w:rsidP="00D04D16">
      <w:pPr>
        <w:jc w:val="both"/>
      </w:pPr>
      <w:r w:rsidRPr="00795B53">
        <w:lastRenderedPageBreak/>
        <w:t xml:space="preserve">Με το </w:t>
      </w:r>
      <w:r w:rsidRPr="00795B53">
        <w:rPr>
          <w:b/>
          <w:bCs/>
        </w:rPr>
        <w:t>3</w:t>
      </w:r>
      <w:r w:rsidRPr="00795B53">
        <w:rPr>
          <w:b/>
          <w:bCs/>
          <w:vertAlign w:val="superscript"/>
        </w:rPr>
        <w:t>ο</w:t>
      </w:r>
      <w:r w:rsidRPr="00795B53">
        <w:rPr>
          <w:b/>
          <w:bCs/>
        </w:rPr>
        <w:t xml:space="preserve"> άρθρο</w:t>
      </w:r>
      <w:r w:rsidRPr="00795B53">
        <w:t xml:space="preserve"> προτείνεται </w:t>
      </w:r>
      <w:r w:rsidR="00C75A9D">
        <w:t>η εφαρμογή των ανωτέρω μειώσεων φόρων (και άρα και του αφορολογήτου ορίου) και για τα εισοδήματα από επιχειρηματική δραστηριότητα φυσικών προσώπων.</w:t>
      </w:r>
    </w:p>
    <w:p w14:paraId="4E3706D3" w14:textId="4C07DDD8" w:rsidR="00C75A9D" w:rsidRDefault="00E60B09" w:rsidP="00E60B09">
      <w:pPr>
        <w:pStyle w:val="ListParagraph"/>
        <w:numPr>
          <w:ilvl w:val="0"/>
          <w:numId w:val="39"/>
        </w:numPr>
        <w:jc w:val="both"/>
        <w:rPr>
          <w:b/>
          <w:bCs/>
        </w:rPr>
      </w:pPr>
      <w:r w:rsidRPr="00E60B09">
        <w:rPr>
          <w:b/>
          <w:bCs/>
        </w:rPr>
        <w:t xml:space="preserve">Με τον συνδυασμό των προβλέψεων των άρθρων 1 έως 3 και </w:t>
      </w:r>
      <w:bookmarkStart w:id="4" w:name="_Hlk167213123"/>
      <w:r w:rsidRPr="00E60B09">
        <w:rPr>
          <w:b/>
          <w:bCs/>
        </w:rPr>
        <w:t xml:space="preserve">με βάση </w:t>
      </w:r>
      <w:r w:rsidR="00B63702">
        <w:rPr>
          <w:b/>
          <w:bCs/>
        </w:rPr>
        <w:t>τις δηλώσεις εισοδήματος</w:t>
      </w:r>
      <w:r w:rsidRPr="00E60B09">
        <w:rPr>
          <w:b/>
          <w:bCs/>
        </w:rPr>
        <w:t xml:space="preserve"> έτους 2023 (φορολογικ</w:t>
      </w:r>
      <w:r w:rsidR="00562A64">
        <w:rPr>
          <w:b/>
          <w:bCs/>
        </w:rPr>
        <w:t>ό</w:t>
      </w:r>
      <w:r w:rsidRPr="00E60B09">
        <w:rPr>
          <w:b/>
          <w:bCs/>
        </w:rPr>
        <w:t xml:space="preserve"> </w:t>
      </w:r>
      <w:r w:rsidR="00562A64">
        <w:rPr>
          <w:b/>
          <w:bCs/>
        </w:rPr>
        <w:t>έτος</w:t>
      </w:r>
      <w:r w:rsidRPr="00E60B09">
        <w:rPr>
          <w:b/>
          <w:bCs/>
        </w:rPr>
        <w:t xml:space="preserve"> 2022) εκτιμάται απώλεια εσόδων από τη μείωση</w:t>
      </w:r>
      <w:r w:rsidR="00383705">
        <w:rPr>
          <w:b/>
          <w:bCs/>
        </w:rPr>
        <w:t xml:space="preserve"> του αναλογούντος </w:t>
      </w:r>
      <w:r w:rsidRPr="00E60B09">
        <w:rPr>
          <w:b/>
          <w:bCs/>
        </w:rPr>
        <w:t xml:space="preserve">φόρου εισοδήματος φυσικών προσώπων ύψους </w:t>
      </w:r>
      <w:r>
        <w:rPr>
          <w:b/>
          <w:bCs/>
        </w:rPr>
        <w:t xml:space="preserve">περίπου </w:t>
      </w:r>
      <w:r w:rsidRPr="00E60B09">
        <w:rPr>
          <w:b/>
          <w:bCs/>
        </w:rPr>
        <w:t>3,</w:t>
      </w:r>
      <w:r w:rsidR="00855E87">
        <w:rPr>
          <w:b/>
          <w:bCs/>
        </w:rPr>
        <w:t>5</w:t>
      </w:r>
      <w:r w:rsidRPr="00E60B09">
        <w:rPr>
          <w:b/>
          <w:bCs/>
        </w:rPr>
        <w:t xml:space="preserve"> δι</w:t>
      </w:r>
      <w:r>
        <w:rPr>
          <w:b/>
          <w:bCs/>
        </w:rPr>
        <w:t>σ.</w:t>
      </w:r>
      <w:r w:rsidRPr="00E60B09">
        <w:rPr>
          <w:b/>
          <w:bCs/>
        </w:rPr>
        <w:t xml:space="preserve"> ευρώ ετησίως.</w:t>
      </w:r>
    </w:p>
    <w:bookmarkEnd w:id="4"/>
    <w:p w14:paraId="18234357" w14:textId="00391500" w:rsidR="00E60B09" w:rsidRDefault="00E60B09" w:rsidP="00E60B09">
      <w:pPr>
        <w:jc w:val="both"/>
        <w:rPr>
          <w:b/>
          <w:bCs/>
        </w:rPr>
      </w:pPr>
    </w:p>
    <w:p w14:paraId="4A4DC446" w14:textId="6466A8F1" w:rsidR="00A650B3" w:rsidRPr="008A6661" w:rsidRDefault="00A650B3" w:rsidP="00E60B09">
      <w:pPr>
        <w:jc w:val="both"/>
      </w:pPr>
      <w:r>
        <w:t xml:space="preserve">Με το </w:t>
      </w:r>
      <w:r w:rsidRPr="00255246">
        <w:rPr>
          <w:b/>
          <w:bCs/>
        </w:rPr>
        <w:t>4</w:t>
      </w:r>
      <w:r w:rsidRPr="00255246">
        <w:rPr>
          <w:b/>
          <w:bCs/>
          <w:vertAlign w:val="superscript"/>
        </w:rPr>
        <w:t>ο</w:t>
      </w:r>
      <w:r w:rsidRPr="00255246">
        <w:rPr>
          <w:b/>
          <w:bCs/>
        </w:rPr>
        <w:t xml:space="preserve"> άρθρο</w:t>
      </w:r>
      <w:r>
        <w:t xml:space="preserve"> προτείνεται μείωση του ΕΝΦΙΑ ανάλογα με τη συνολική αξία της ακίνητης περιουσίας ως εξής</w:t>
      </w:r>
      <w:r w:rsidRPr="00A650B3">
        <w:t>:</w:t>
      </w:r>
    </w:p>
    <w:tbl>
      <w:tblPr>
        <w:tblW w:w="6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9"/>
        <w:gridCol w:w="1701"/>
        <w:gridCol w:w="1418"/>
      </w:tblGrid>
      <w:tr w:rsidR="00255246" w:rsidRPr="00255246" w14:paraId="42682CF1" w14:textId="77777777" w:rsidTr="00255246">
        <w:trPr>
          <w:trHeight w:val="290"/>
        </w:trPr>
        <w:tc>
          <w:tcPr>
            <w:tcW w:w="3539" w:type="dxa"/>
            <w:shd w:val="clear" w:color="auto" w:fill="auto"/>
            <w:noWrap/>
            <w:vAlign w:val="bottom"/>
            <w:hideMark/>
          </w:tcPr>
          <w:p w14:paraId="194CC25F" w14:textId="77777777" w:rsidR="00255246" w:rsidRPr="00255246" w:rsidRDefault="00255246" w:rsidP="00255246">
            <w:pPr>
              <w:spacing w:after="0" w:line="240" w:lineRule="auto"/>
              <w:rPr>
                <w:rFonts w:ascii="Calibri" w:eastAsia="Times New Roman" w:hAnsi="Calibri" w:cs="Calibri"/>
                <w:color w:val="000000"/>
              </w:rPr>
            </w:pPr>
            <w:r w:rsidRPr="00255246">
              <w:rPr>
                <w:rFonts w:ascii="Calibri" w:eastAsia="Times New Roman" w:hAnsi="Calibri" w:cs="Calibri"/>
                <w:color w:val="000000"/>
              </w:rPr>
              <w:t>Μειώσεις ΕΝΦΙΑ με αξία ακίνητης περιουσίας έως:</w:t>
            </w:r>
          </w:p>
        </w:tc>
        <w:tc>
          <w:tcPr>
            <w:tcW w:w="1701" w:type="dxa"/>
            <w:shd w:val="clear" w:color="auto" w:fill="auto"/>
            <w:noWrap/>
            <w:vAlign w:val="bottom"/>
            <w:hideMark/>
          </w:tcPr>
          <w:p w14:paraId="30C96904"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Μείωση που ισχύει σήμερα</w:t>
            </w:r>
          </w:p>
        </w:tc>
        <w:tc>
          <w:tcPr>
            <w:tcW w:w="1418" w:type="dxa"/>
            <w:shd w:val="clear" w:color="auto" w:fill="auto"/>
            <w:noWrap/>
            <w:vAlign w:val="bottom"/>
            <w:hideMark/>
          </w:tcPr>
          <w:p w14:paraId="39CE8244"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Πρόταση ΣΥΡΙΖΑ</w:t>
            </w:r>
          </w:p>
        </w:tc>
      </w:tr>
      <w:tr w:rsidR="00255246" w:rsidRPr="00255246" w14:paraId="01FF2FF3" w14:textId="77777777" w:rsidTr="00255246">
        <w:trPr>
          <w:trHeight w:val="290"/>
        </w:trPr>
        <w:tc>
          <w:tcPr>
            <w:tcW w:w="3539" w:type="dxa"/>
            <w:shd w:val="clear" w:color="auto" w:fill="auto"/>
            <w:noWrap/>
            <w:vAlign w:val="bottom"/>
            <w:hideMark/>
          </w:tcPr>
          <w:p w14:paraId="3190E2E8"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60.000</w:t>
            </w:r>
          </w:p>
        </w:tc>
        <w:tc>
          <w:tcPr>
            <w:tcW w:w="1701" w:type="dxa"/>
            <w:shd w:val="clear" w:color="auto" w:fill="auto"/>
            <w:noWrap/>
            <w:vAlign w:val="bottom"/>
            <w:hideMark/>
          </w:tcPr>
          <w:p w14:paraId="1E5DB174"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30%</w:t>
            </w:r>
          </w:p>
        </w:tc>
        <w:tc>
          <w:tcPr>
            <w:tcW w:w="1418" w:type="dxa"/>
            <w:shd w:val="clear" w:color="auto" w:fill="auto"/>
            <w:noWrap/>
            <w:vAlign w:val="bottom"/>
            <w:hideMark/>
          </w:tcPr>
          <w:p w14:paraId="0B6D7A72"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60%</w:t>
            </w:r>
          </w:p>
        </w:tc>
      </w:tr>
      <w:tr w:rsidR="00255246" w:rsidRPr="00255246" w14:paraId="5DE9DDD2" w14:textId="77777777" w:rsidTr="00255246">
        <w:trPr>
          <w:trHeight w:val="290"/>
        </w:trPr>
        <w:tc>
          <w:tcPr>
            <w:tcW w:w="3539" w:type="dxa"/>
            <w:shd w:val="clear" w:color="auto" w:fill="auto"/>
            <w:noWrap/>
            <w:vAlign w:val="bottom"/>
            <w:hideMark/>
          </w:tcPr>
          <w:p w14:paraId="35DF2A29"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100.000</w:t>
            </w:r>
          </w:p>
        </w:tc>
        <w:tc>
          <w:tcPr>
            <w:tcW w:w="1701" w:type="dxa"/>
            <w:shd w:val="clear" w:color="auto" w:fill="auto"/>
            <w:noWrap/>
            <w:vAlign w:val="bottom"/>
            <w:hideMark/>
          </w:tcPr>
          <w:p w14:paraId="4D61392B"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30%</w:t>
            </w:r>
          </w:p>
        </w:tc>
        <w:tc>
          <w:tcPr>
            <w:tcW w:w="1418" w:type="dxa"/>
            <w:shd w:val="clear" w:color="auto" w:fill="auto"/>
            <w:noWrap/>
            <w:vAlign w:val="bottom"/>
            <w:hideMark/>
          </w:tcPr>
          <w:p w14:paraId="25DB0209"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50%</w:t>
            </w:r>
          </w:p>
        </w:tc>
      </w:tr>
      <w:tr w:rsidR="00255246" w:rsidRPr="00255246" w14:paraId="740C6726" w14:textId="77777777" w:rsidTr="00255246">
        <w:trPr>
          <w:trHeight w:val="290"/>
        </w:trPr>
        <w:tc>
          <w:tcPr>
            <w:tcW w:w="3539" w:type="dxa"/>
            <w:shd w:val="clear" w:color="auto" w:fill="auto"/>
            <w:noWrap/>
            <w:vAlign w:val="bottom"/>
            <w:hideMark/>
          </w:tcPr>
          <w:p w14:paraId="6FEFB739"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150.000</w:t>
            </w:r>
          </w:p>
        </w:tc>
        <w:tc>
          <w:tcPr>
            <w:tcW w:w="1701" w:type="dxa"/>
            <w:shd w:val="clear" w:color="auto" w:fill="auto"/>
            <w:noWrap/>
            <w:vAlign w:val="bottom"/>
            <w:hideMark/>
          </w:tcPr>
          <w:p w14:paraId="5A550229"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25%</w:t>
            </w:r>
          </w:p>
        </w:tc>
        <w:tc>
          <w:tcPr>
            <w:tcW w:w="1418" w:type="dxa"/>
            <w:shd w:val="clear" w:color="auto" w:fill="auto"/>
            <w:noWrap/>
            <w:vAlign w:val="bottom"/>
            <w:hideMark/>
          </w:tcPr>
          <w:p w14:paraId="0A40D3DC"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40%</w:t>
            </w:r>
          </w:p>
        </w:tc>
      </w:tr>
      <w:tr w:rsidR="00255246" w:rsidRPr="00255246" w14:paraId="7D9A1112" w14:textId="77777777" w:rsidTr="00255246">
        <w:trPr>
          <w:trHeight w:val="290"/>
        </w:trPr>
        <w:tc>
          <w:tcPr>
            <w:tcW w:w="3539" w:type="dxa"/>
            <w:shd w:val="clear" w:color="auto" w:fill="auto"/>
            <w:noWrap/>
            <w:vAlign w:val="bottom"/>
            <w:hideMark/>
          </w:tcPr>
          <w:p w14:paraId="1ADE20E8"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200.000</w:t>
            </w:r>
          </w:p>
        </w:tc>
        <w:tc>
          <w:tcPr>
            <w:tcW w:w="1701" w:type="dxa"/>
            <w:shd w:val="clear" w:color="auto" w:fill="auto"/>
            <w:noWrap/>
            <w:vAlign w:val="bottom"/>
            <w:hideMark/>
          </w:tcPr>
          <w:p w14:paraId="56A120BF"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20%</w:t>
            </w:r>
          </w:p>
        </w:tc>
        <w:tc>
          <w:tcPr>
            <w:tcW w:w="1418" w:type="dxa"/>
            <w:shd w:val="clear" w:color="auto" w:fill="auto"/>
            <w:noWrap/>
            <w:vAlign w:val="bottom"/>
            <w:hideMark/>
          </w:tcPr>
          <w:p w14:paraId="7E722FA0"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35%</w:t>
            </w:r>
          </w:p>
        </w:tc>
      </w:tr>
      <w:tr w:rsidR="00255246" w:rsidRPr="00255246" w14:paraId="17F2C6D2" w14:textId="77777777" w:rsidTr="00255246">
        <w:trPr>
          <w:trHeight w:val="290"/>
        </w:trPr>
        <w:tc>
          <w:tcPr>
            <w:tcW w:w="3539" w:type="dxa"/>
            <w:shd w:val="clear" w:color="auto" w:fill="auto"/>
            <w:noWrap/>
            <w:vAlign w:val="bottom"/>
            <w:hideMark/>
          </w:tcPr>
          <w:p w14:paraId="1A8DDACC"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250.000</w:t>
            </w:r>
          </w:p>
        </w:tc>
        <w:tc>
          <w:tcPr>
            <w:tcW w:w="1701" w:type="dxa"/>
            <w:shd w:val="clear" w:color="auto" w:fill="auto"/>
            <w:noWrap/>
            <w:vAlign w:val="bottom"/>
            <w:hideMark/>
          </w:tcPr>
          <w:p w14:paraId="4F0F964E"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20%</w:t>
            </w:r>
          </w:p>
        </w:tc>
        <w:tc>
          <w:tcPr>
            <w:tcW w:w="1418" w:type="dxa"/>
            <w:shd w:val="clear" w:color="auto" w:fill="auto"/>
            <w:noWrap/>
            <w:vAlign w:val="bottom"/>
            <w:hideMark/>
          </w:tcPr>
          <w:p w14:paraId="24061224"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30%</w:t>
            </w:r>
          </w:p>
        </w:tc>
      </w:tr>
      <w:tr w:rsidR="00255246" w:rsidRPr="00255246" w14:paraId="3DA95539" w14:textId="77777777" w:rsidTr="00255246">
        <w:trPr>
          <w:trHeight w:val="290"/>
        </w:trPr>
        <w:tc>
          <w:tcPr>
            <w:tcW w:w="3539" w:type="dxa"/>
            <w:shd w:val="clear" w:color="auto" w:fill="auto"/>
            <w:noWrap/>
            <w:vAlign w:val="bottom"/>
            <w:hideMark/>
          </w:tcPr>
          <w:p w14:paraId="57C234AA"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300.000</w:t>
            </w:r>
          </w:p>
        </w:tc>
        <w:tc>
          <w:tcPr>
            <w:tcW w:w="1701" w:type="dxa"/>
            <w:shd w:val="clear" w:color="auto" w:fill="auto"/>
            <w:noWrap/>
            <w:vAlign w:val="bottom"/>
            <w:hideMark/>
          </w:tcPr>
          <w:p w14:paraId="506B3772"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15%</w:t>
            </w:r>
          </w:p>
        </w:tc>
        <w:tc>
          <w:tcPr>
            <w:tcW w:w="1418" w:type="dxa"/>
            <w:shd w:val="clear" w:color="auto" w:fill="auto"/>
            <w:noWrap/>
            <w:vAlign w:val="bottom"/>
            <w:hideMark/>
          </w:tcPr>
          <w:p w14:paraId="3C3AFA83"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30%</w:t>
            </w:r>
          </w:p>
        </w:tc>
      </w:tr>
      <w:tr w:rsidR="00255246" w:rsidRPr="00255246" w14:paraId="7BCB45E0" w14:textId="77777777" w:rsidTr="00255246">
        <w:trPr>
          <w:trHeight w:val="290"/>
        </w:trPr>
        <w:tc>
          <w:tcPr>
            <w:tcW w:w="3539" w:type="dxa"/>
            <w:shd w:val="clear" w:color="auto" w:fill="auto"/>
            <w:noWrap/>
            <w:vAlign w:val="bottom"/>
            <w:hideMark/>
          </w:tcPr>
          <w:p w14:paraId="2437392F"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400.000</w:t>
            </w:r>
          </w:p>
        </w:tc>
        <w:tc>
          <w:tcPr>
            <w:tcW w:w="1701" w:type="dxa"/>
            <w:shd w:val="clear" w:color="auto" w:fill="auto"/>
            <w:noWrap/>
            <w:vAlign w:val="bottom"/>
            <w:hideMark/>
          </w:tcPr>
          <w:p w14:paraId="759992DE"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10%</w:t>
            </w:r>
          </w:p>
        </w:tc>
        <w:tc>
          <w:tcPr>
            <w:tcW w:w="1418" w:type="dxa"/>
            <w:shd w:val="clear" w:color="auto" w:fill="auto"/>
            <w:noWrap/>
            <w:vAlign w:val="bottom"/>
            <w:hideMark/>
          </w:tcPr>
          <w:p w14:paraId="1FA443D7"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30%</w:t>
            </w:r>
          </w:p>
        </w:tc>
      </w:tr>
      <w:tr w:rsidR="00255246" w:rsidRPr="00255246" w14:paraId="0E61755D" w14:textId="77777777" w:rsidTr="00255246">
        <w:trPr>
          <w:trHeight w:val="290"/>
        </w:trPr>
        <w:tc>
          <w:tcPr>
            <w:tcW w:w="3539" w:type="dxa"/>
            <w:shd w:val="clear" w:color="auto" w:fill="auto"/>
            <w:noWrap/>
            <w:vAlign w:val="bottom"/>
            <w:hideMark/>
          </w:tcPr>
          <w:p w14:paraId="40449A1C" w14:textId="77777777" w:rsidR="00255246" w:rsidRPr="00255246" w:rsidRDefault="00255246" w:rsidP="00255246">
            <w:pPr>
              <w:spacing w:after="0" w:line="240" w:lineRule="auto"/>
              <w:rPr>
                <w:rFonts w:ascii="Calibri" w:eastAsia="Times New Roman" w:hAnsi="Calibri" w:cs="Calibri"/>
                <w:color w:val="000000"/>
                <w:lang w:val="en-US"/>
              </w:rPr>
            </w:pPr>
            <w:r w:rsidRPr="00255246">
              <w:rPr>
                <w:rFonts w:ascii="Calibri" w:eastAsia="Times New Roman" w:hAnsi="Calibri" w:cs="Calibri"/>
                <w:color w:val="000000"/>
                <w:lang w:val="en-US"/>
              </w:rPr>
              <w:t>έως 500.000</w:t>
            </w:r>
          </w:p>
        </w:tc>
        <w:tc>
          <w:tcPr>
            <w:tcW w:w="1701" w:type="dxa"/>
            <w:shd w:val="clear" w:color="auto" w:fill="auto"/>
            <w:noWrap/>
            <w:vAlign w:val="bottom"/>
            <w:hideMark/>
          </w:tcPr>
          <w:p w14:paraId="22D90834"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0%</w:t>
            </w:r>
          </w:p>
        </w:tc>
        <w:tc>
          <w:tcPr>
            <w:tcW w:w="1418" w:type="dxa"/>
            <w:shd w:val="clear" w:color="auto" w:fill="auto"/>
            <w:noWrap/>
            <w:vAlign w:val="bottom"/>
            <w:hideMark/>
          </w:tcPr>
          <w:p w14:paraId="7B1C792C" w14:textId="77777777" w:rsidR="00255246" w:rsidRPr="00255246" w:rsidRDefault="00255246" w:rsidP="00255246">
            <w:pPr>
              <w:spacing w:after="0" w:line="240" w:lineRule="auto"/>
              <w:jc w:val="right"/>
              <w:rPr>
                <w:rFonts w:ascii="Calibri" w:eastAsia="Times New Roman" w:hAnsi="Calibri" w:cs="Calibri"/>
                <w:color w:val="000000"/>
                <w:lang w:val="en-US"/>
              </w:rPr>
            </w:pPr>
            <w:r w:rsidRPr="00255246">
              <w:rPr>
                <w:rFonts w:ascii="Calibri" w:eastAsia="Times New Roman" w:hAnsi="Calibri" w:cs="Calibri"/>
                <w:color w:val="000000"/>
                <w:lang w:val="en-US"/>
              </w:rPr>
              <w:t>30%</w:t>
            </w:r>
          </w:p>
        </w:tc>
      </w:tr>
    </w:tbl>
    <w:p w14:paraId="3B6480A2" w14:textId="77777777" w:rsidR="00A650B3" w:rsidRDefault="00A650B3" w:rsidP="00E60B09">
      <w:pPr>
        <w:jc w:val="both"/>
      </w:pPr>
    </w:p>
    <w:p w14:paraId="1D36EAF8" w14:textId="7513ABE1" w:rsidR="001F273B" w:rsidRDefault="005D46DF" w:rsidP="005D46DF">
      <w:pPr>
        <w:pStyle w:val="ListParagraph"/>
        <w:numPr>
          <w:ilvl w:val="0"/>
          <w:numId w:val="39"/>
        </w:numPr>
        <w:jc w:val="both"/>
        <w:rPr>
          <w:b/>
          <w:bCs/>
        </w:rPr>
      </w:pPr>
      <w:r w:rsidRPr="005D46DF">
        <w:rPr>
          <w:b/>
          <w:bCs/>
        </w:rPr>
        <w:t>Σύμφωνα με τα στοιχεία του ΕΝΦΙΑ 2024 οι ανωτέρω μειώσεις αναμένεται να προκαλέσουν μείωση του βεβαιωθέντος φόρου κατά 323 εκατ. ευρώ ετησίως.</w:t>
      </w:r>
    </w:p>
    <w:p w14:paraId="38DBDE41" w14:textId="5E9429C7" w:rsidR="005D46DF" w:rsidRPr="005D46DF" w:rsidRDefault="005D46DF" w:rsidP="005D46DF">
      <w:pPr>
        <w:pStyle w:val="ListParagraph"/>
        <w:numPr>
          <w:ilvl w:val="0"/>
          <w:numId w:val="39"/>
        </w:numPr>
        <w:jc w:val="both"/>
      </w:pPr>
      <w:r w:rsidRPr="005D46DF">
        <w:t>Σημειώνεται ότι εφαρμογή μείωσης φόρου έως 500.000 ευρώ έρχεται σε αντίθεση με την εφαρμογή συμπληρωματικού φόρου σε ακίνητη περιουσία άνω των 400.000 όπως προτείνεται στο άρθρο 5 του νομοσχεδίου.</w:t>
      </w:r>
    </w:p>
    <w:p w14:paraId="1631E787" w14:textId="16B59CD9" w:rsidR="00C75A9D" w:rsidRDefault="00C75A9D" w:rsidP="00D04D16">
      <w:pPr>
        <w:jc w:val="both"/>
      </w:pPr>
    </w:p>
    <w:p w14:paraId="0014BFCB" w14:textId="66347392" w:rsidR="009E25FB" w:rsidRDefault="009E25FB" w:rsidP="00D04D16">
      <w:pPr>
        <w:jc w:val="both"/>
      </w:pPr>
      <w:r>
        <w:t xml:space="preserve">Με το </w:t>
      </w:r>
      <w:r w:rsidRPr="00123135">
        <w:rPr>
          <w:b/>
          <w:bCs/>
        </w:rPr>
        <w:t>5</w:t>
      </w:r>
      <w:r w:rsidRPr="00123135">
        <w:rPr>
          <w:b/>
          <w:bCs/>
          <w:vertAlign w:val="superscript"/>
        </w:rPr>
        <w:t>ο</w:t>
      </w:r>
      <w:r w:rsidRPr="00123135">
        <w:rPr>
          <w:b/>
          <w:bCs/>
        </w:rPr>
        <w:t xml:space="preserve"> άρθρο προτείνεται η θ</w:t>
      </w:r>
      <w:r w:rsidR="00123135" w:rsidRPr="00123135">
        <w:rPr>
          <w:b/>
          <w:bCs/>
        </w:rPr>
        <w:t>έσπιση</w:t>
      </w:r>
      <w:r w:rsidRPr="00123135">
        <w:rPr>
          <w:b/>
          <w:bCs/>
        </w:rPr>
        <w:t xml:space="preserve"> συμπληρωματικού ΕΝΦΙΑ </w:t>
      </w:r>
      <w:r w:rsidR="00123135" w:rsidRPr="00123135">
        <w:rPr>
          <w:b/>
          <w:bCs/>
        </w:rPr>
        <w:t xml:space="preserve">Μεγάλης Ακίνητης Περιουσίας για φυσικά πρόσωπα που έχουν </w:t>
      </w:r>
      <w:r w:rsidR="00123135">
        <w:rPr>
          <w:b/>
          <w:bCs/>
        </w:rPr>
        <w:t xml:space="preserve">συνολική ακίνητη περιουσία άνω των 400.000 ευρώ </w:t>
      </w:r>
      <w:r w:rsidR="00123135">
        <w:t>με συντελεστές που κυμαίνονται από 0,5% έως 1,2% επί της αξίας της περιουσίας στην προτεινόμενη κλίμακα.</w:t>
      </w:r>
    </w:p>
    <w:p w14:paraId="6457DC94" w14:textId="422B5AC9" w:rsidR="00123135" w:rsidRDefault="00780574" w:rsidP="00920439">
      <w:pPr>
        <w:pStyle w:val="ListParagraph"/>
        <w:numPr>
          <w:ilvl w:val="0"/>
          <w:numId w:val="40"/>
        </w:numPr>
        <w:jc w:val="both"/>
      </w:pPr>
      <w:r w:rsidRPr="00780574">
        <w:rPr>
          <w:b/>
          <w:bCs/>
        </w:rPr>
        <w:t>Με βάση τα στοιχεία του ΕΝΦΙΑ 2024 προκύπτει αύξηση του βεβαιωθέντος φόρου κατά 496 εκατ. ευρώ ετησίως</w:t>
      </w:r>
      <w:r>
        <w:t>.</w:t>
      </w:r>
    </w:p>
    <w:p w14:paraId="77D19C96" w14:textId="3FF6980B" w:rsidR="005E1C83" w:rsidRDefault="00780574" w:rsidP="005E1C83">
      <w:pPr>
        <w:pStyle w:val="ListParagraph"/>
        <w:numPr>
          <w:ilvl w:val="0"/>
          <w:numId w:val="40"/>
        </w:numPr>
        <w:jc w:val="both"/>
      </w:pPr>
      <w:r>
        <w:t>Η επιβάρυνση</w:t>
      </w:r>
      <w:r w:rsidRPr="00780574">
        <w:t xml:space="preserve"> αφορά 196.141 φορολογούμενους.</w:t>
      </w:r>
      <w:r>
        <w:t xml:space="preserve"> Σημειώνεται ότι </w:t>
      </w:r>
      <w:r w:rsidR="004100A7">
        <w:t>ο ανωτέρω φόρος επιβάλλεται συμπληρωματικά του</w:t>
      </w:r>
      <w:r w:rsidR="00706B21" w:rsidRPr="00706B21">
        <w:t xml:space="preserve"> </w:t>
      </w:r>
      <w:r w:rsidR="00706B21">
        <w:t>φόρου</w:t>
      </w:r>
      <w:r w:rsidR="00706B21" w:rsidRPr="00706B21">
        <w:t xml:space="preserve"> επί της συνολικής αξίας ανά εμπράγματο δικαίωμα επί ακινήτου</w:t>
      </w:r>
      <w:r w:rsidR="004100A7">
        <w:t xml:space="preserve"> </w:t>
      </w:r>
      <w:r w:rsidR="00706B21">
        <w:t>που επιβάλλεται σήμερα σε δικαιώματα με αξία άνω των 400.000 ευρώ σύμφωνα με το άρθρο 4 (παρ. 3) του Ν. 4223/2013.</w:t>
      </w:r>
    </w:p>
    <w:p w14:paraId="3401DC4D" w14:textId="77777777" w:rsidR="002B74B4" w:rsidRDefault="002B74B4" w:rsidP="005E1C83">
      <w:pPr>
        <w:jc w:val="both"/>
      </w:pPr>
    </w:p>
    <w:p w14:paraId="0836DEC8" w14:textId="3361175E" w:rsidR="005E1C83" w:rsidRDefault="005E1C83" w:rsidP="005E1C83">
      <w:pPr>
        <w:jc w:val="both"/>
      </w:pPr>
      <w:r>
        <w:t xml:space="preserve">Με το </w:t>
      </w:r>
      <w:r w:rsidRPr="005E1C83">
        <w:rPr>
          <w:b/>
          <w:bCs/>
        </w:rPr>
        <w:t>6</w:t>
      </w:r>
      <w:r w:rsidRPr="005E1C83">
        <w:rPr>
          <w:b/>
          <w:bCs/>
          <w:vertAlign w:val="superscript"/>
        </w:rPr>
        <w:t>ο</w:t>
      </w:r>
      <w:r w:rsidRPr="005E1C83">
        <w:rPr>
          <w:b/>
          <w:bCs/>
        </w:rPr>
        <w:t xml:space="preserve"> άρθρο</w:t>
      </w:r>
      <w:r>
        <w:rPr>
          <w:b/>
          <w:bCs/>
        </w:rPr>
        <w:t xml:space="preserve"> </w:t>
      </w:r>
      <w:r w:rsidR="00383705" w:rsidRPr="009E2643">
        <w:rPr>
          <w:b/>
          <w:bCs/>
        </w:rPr>
        <w:t>προτείνεται η αντικατάσταση του συντελεστή φορολόγησης κερδών νομικών προσώπων από 22% σε δύο κλίμακες</w:t>
      </w:r>
      <w:r w:rsidR="0022127D" w:rsidRPr="009E2643">
        <w:rPr>
          <w:b/>
          <w:bCs/>
        </w:rPr>
        <w:t>: 17% για κέρδη έως 220.000 ευρώ και 24% για κέρδη άνω των 220.000 ευρώ</w:t>
      </w:r>
      <w:r w:rsidR="0022127D">
        <w:t>.</w:t>
      </w:r>
    </w:p>
    <w:p w14:paraId="2F79DB69" w14:textId="07880B68" w:rsidR="0067483D" w:rsidRPr="00801B05" w:rsidRDefault="0067483D" w:rsidP="00446FE1">
      <w:pPr>
        <w:pStyle w:val="ListParagraph"/>
        <w:numPr>
          <w:ilvl w:val="0"/>
          <w:numId w:val="41"/>
        </w:numPr>
        <w:jc w:val="both"/>
        <w:rPr>
          <w:b/>
          <w:bCs/>
        </w:rPr>
      </w:pPr>
      <w:r w:rsidRPr="00801B05">
        <w:rPr>
          <w:b/>
          <w:bCs/>
        </w:rPr>
        <w:lastRenderedPageBreak/>
        <w:t xml:space="preserve">Με βάση </w:t>
      </w:r>
      <w:r w:rsidR="00B63702">
        <w:rPr>
          <w:b/>
          <w:bCs/>
        </w:rPr>
        <w:t>τις δηλώσεις εισοδήματος</w:t>
      </w:r>
      <w:r w:rsidRPr="00801B05">
        <w:rPr>
          <w:b/>
          <w:bCs/>
        </w:rPr>
        <w:t xml:space="preserve"> έτους 2023 (φορολογικό έτος 2022) εκτιμάται </w:t>
      </w:r>
      <w:r w:rsidR="00801B05" w:rsidRPr="00801B05">
        <w:rPr>
          <w:b/>
          <w:bCs/>
        </w:rPr>
        <w:t>σχεδόν ουδέτερο δημοσιονομικό αποτέλεσμα, συγκεκριμένα αύξηση</w:t>
      </w:r>
      <w:r w:rsidRPr="00801B05">
        <w:rPr>
          <w:b/>
          <w:bCs/>
        </w:rPr>
        <w:t xml:space="preserve"> εσόδων από τη μείωση του αναλογούντος φόρου εισοδήματος </w:t>
      </w:r>
      <w:r w:rsidR="00801B05" w:rsidRPr="00801B05">
        <w:rPr>
          <w:b/>
          <w:bCs/>
        </w:rPr>
        <w:t>νομικών</w:t>
      </w:r>
      <w:r w:rsidRPr="00801B05">
        <w:rPr>
          <w:b/>
          <w:bCs/>
        </w:rPr>
        <w:t xml:space="preserve"> προσώπων ύψους περίπου </w:t>
      </w:r>
      <w:r w:rsidR="00801B05" w:rsidRPr="00801B05">
        <w:rPr>
          <w:b/>
          <w:bCs/>
        </w:rPr>
        <w:t>2 εκατ</w:t>
      </w:r>
      <w:r w:rsidRPr="00801B05">
        <w:rPr>
          <w:b/>
          <w:bCs/>
        </w:rPr>
        <w:t>. ευρώ ετησίως.</w:t>
      </w:r>
    </w:p>
    <w:p w14:paraId="1DFCC801" w14:textId="06A288E4" w:rsidR="0022127D" w:rsidRDefault="00B54B0F" w:rsidP="009E2643">
      <w:pPr>
        <w:pStyle w:val="ListParagraph"/>
        <w:numPr>
          <w:ilvl w:val="0"/>
          <w:numId w:val="41"/>
        </w:numPr>
        <w:jc w:val="both"/>
        <w:rPr>
          <w:b/>
          <w:bCs/>
        </w:rPr>
      </w:pPr>
      <w:r w:rsidRPr="00B54B0F">
        <w:rPr>
          <w:b/>
          <w:bCs/>
        </w:rPr>
        <w:t>Ωστόσο το προτεινόμενο μέτρο αποτελεί αντικίνητρο για την δήλωση των πραγματικών κερδών, καθώς και αντικίνητρο για την αύξηση του μεγέθους των επιχειρήσεων. Είναι ευνόητο ότι πολλές επιχειρήσεις είτε θα δηλώσουν λιγότερα κέρδη άνω των 220.000 ευρώ, είτε θα τιμολογήσουν μέσω άλλων επιχειρήσεων, που θα έχουν τον χαμηλότερο συντελεστή (17%). Συνεπώς, το μέτρο λαμβάνοντας υπόψη την αλλαγή της συμπεριφοράς των επιχειρήσεων αναμένεται να έχει τελικά αρνητική δημοσιονομική επίπτωση.</w:t>
      </w:r>
    </w:p>
    <w:p w14:paraId="18B01EDF" w14:textId="5A26114D" w:rsidR="00FF4B39" w:rsidRDefault="00FF4B39" w:rsidP="00FF4B39">
      <w:pPr>
        <w:jc w:val="both"/>
        <w:rPr>
          <w:b/>
          <w:bCs/>
        </w:rPr>
      </w:pPr>
    </w:p>
    <w:p w14:paraId="23414C34" w14:textId="67A63669" w:rsidR="00FF4B39" w:rsidRDefault="00FF4B39" w:rsidP="00FF4B39">
      <w:pPr>
        <w:jc w:val="both"/>
        <w:rPr>
          <w:b/>
          <w:bCs/>
        </w:rPr>
      </w:pPr>
      <w:r w:rsidRPr="00FF4B39">
        <w:t xml:space="preserve">Με το </w:t>
      </w:r>
      <w:r w:rsidR="008C1F5A" w:rsidRPr="008C1F5A">
        <w:rPr>
          <w:b/>
          <w:bCs/>
        </w:rPr>
        <w:t>7</w:t>
      </w:r>
      <w:r w:rsidR="008C1F5A" w:rsidRPr="008C1F5A">
        <w:rPr>
          <w:b/>
          <w:bCs/>
          <w:vertAlign w:val="superscript"/>
        </w:rPr>
        <w:t>ο</w:t>
      </w:r>
      <w:r w:rsidR="008C1F5A" w:rsidRPr="008C1F5A">
        <w:rPr>
          <w:b/>
          <w:bCs/>
        </w:rPr>
        <w:t xml:space="preserve"> άρθρο </w:t>
      </w:r>
      <w:r w:rsidR="00AD069C">
        <w:rPr>
          <w:b/>
          <w:bCs/>
        </w:rPr>
        <w:t>προτείνεται κατάργηση της προκαταβολής φόρου για τα φυσικά πρόσωπα.</w:t>
      </w:r>
    </w:p>
    <w:p w14:paraId="18442BDB" w14:textId="0BC95A74" w:rsidR="00AD069C" w:rsidRPr="001E7062" w:rsidRDefault="001E7062" w:rsidP="00AD069C">
      <w:pPr>
        <w:pStyle w:val="ListParagraph"/>
        <w:numPr>
          <w:ilvl w:val="0"/>
          <w:numId w:val="42"/>
        </w:numPr>
        <w:jc w:val="both"/>
        <w:rPr>
          <w:b/>
          <w:bCs/>
        </w:rPr>
      </w:pPr>
      <w:r w:rsidRPr="001E7062">
        <w:rPr>
          <w:b/>
          <w:bCs/>
        </w:rPr>
        <w:t xml:space="preserve">Σύμφωνα με τα στοιχεία βεβαίωσης φόρου </w:t>
      </w:r>
      <w:r>
        <w:rPr>
          <w:b/>
          <w:bCs/>
        </w:rPr>
        <w:t>φυσικών</w:t>
      </w:r>
      <w:r w:rsidRPr="001E7062">
        <w:rPr>
          <w:b/>
          <w:bCs/>
        </w:rPr>
        <w:t xml:space="preserve"> προσώπων έτους 2023, από την προτεινόμενη ρύθμιση προκαλείται εφάπαξ μείωση εσόδων από τη μείωση της βεβαίωσης φόρου κατά 404 εκατ. ευρώ.</w:t>
      </w:r>
    </w:p>
    <w:p w14:paraId="6968F88F" w14:textId="37C52FB6" w:rsidR="001E7062" w:rsidRDefault="001E7062" w:rsidP="00AD069C">
      <w:pPr>
        <w:pStyle w:val="ListParagraph"/>
        <w:numPr>
          <w:ilvl w:val="0"/>
          <w:numId w:val="42"/>
        </w:numPr>
        <w:jc w:val="both"/>
      </w:pPr>
      <w:r>
        <w:t>Υπενθυμίζεται ότι η παρούσα Κυβέρνηση μείωσε την προκαταβολή φόρου στο 55% για τα φυσικά πρόσωπα που την είχε αυξήσει στο 100% ο ΣΥΡΙΖΑ.</w:t>
      </w:r>
    </w:p>
    <w:p w14:paraId="21B6219F" w14:textId="6FBF1288" w:rsidR="00126420" w:rsidRDefault="00126420" w:rsidP="00126420">
      <w:pPr>
        <w:jc w:val="both"/>
        <w:rPr>
          <w:b/>
          <w:bCs/>
        </w:rPr>
      </w:pPr>
      <w:r w:rsidRPr="00FF4B39">
        <w:t xml:space="preserve">Με το </w:t>
      </w:r>
      <w:r w:rsidR="006872C6" w:rsidRPr="006872C6">
        <w:rPr>
          <w:b/>
          <w:bCs/>
        </w:rPr>
        <w:t>8</w:t>
      </w:r>
      <w:r w:rsidRPr="008C1F5A">
        <w:rPr>
          <w:b/>
          <w:bCs/>
          <w:vertAlign w:val="superscript"/>
        </w:rPr>
        <w:t>ο</w:t>
      </w:r>
      <w:r w:rsidRPr="008C1F5A">
        <w:rPr>
          <w:b/>
          <w:bCs/>
        </w:rPr>
        <w:t xml:space="preserve"> άρθρο </w:t>
      </w:r>
      <w:r>
        <w:rPr>
          <w:b/>
          <w:bCs/>
        </w:rPr>
        <w:t xml:space="preserve">προτείνεται κατάργηση της προκαταβολής φόρου για τα </w:t>
      </w:r>
      <w:r w:rsidR="00DA32AB">
        <w:rPr>
          <w:b/>
          <w:bCs/>
        </w:rPr>
        <w:t>νομικά</w:t>
      </w:r>
      <w:r>
        <w:rPr>
          <w:b/>
          <w:bCs/>
        </w:rPr>
        <w:t xml:space="preserve"> πρόσωπα.</w:t>
      </w:r>
    </w:p>
    <w:p w14:paraId="63349F23" w14:textId="28576493" w:rsidR="00126420" w:rsidRPr="001E7062" w:rsidRDefault="00126420" w:rsidP="00126420">
      <w:pPr>
        <w:pStyle w:val="ListParagraph"/>
        <w:numPr>
          <w:ilvl w:val="0"/>
          <w:numId w:val="42"/>
        </w:numPr>
        <w:jc w:val="both"/>
        <w:rPr>
          <w:b/>
          <w:bCs/>
        </w:rPr>
      </w:pPr>
      <w:r w:rsidRPr="001E7062">
        <w:rPr>
          <w:b/>
          <w:bCs/>
        </w:rPr>
        <w:t xml:space="preserve">Σύμφωνα με τα στοιχεία βεβαίωσης φόρου </w:t>
      </w:r>
      <w:r w:rsidR="00DA32AB">
        <w:rPr>
          <w:b/>
          <w:bCs/>
        </w:rPr>
        <w:t>νομικών</w:t>
      </w:r>
      <w:r w:rsidRPr="001E7062">
        <w:rPr>
          <w:b/>
          <w:bCs/>
        </w:rPr>
        <w:t xml:space="preserve"> προσώπων έτους 2023, από την προτεινόμενη ρύθμιση προκαλείται εφάπαξ μείωση εσόδων από τη μείωση της βεβαίωσης φόρου κατά </w:t>
      </w:r>
      <w:r w:rsidR="00DA32AB">
        <w:rPr>
          <w:b/>
          <w:bCs/>
        </w:rPr>
        <w:t>3,77 δισ.</w:t>
      </w:r>
      <w:r w:rsidR="006872C6">
        <w:rPr>
          <w:b/>
          <w:bCs/>
        </w:rPr>
        <w:t xml:space="preserve"> </w:t>
      </w:r>
      <w:r w:rsidRPr="001E7062">
        <w:rPr>
          <w:b/>
          <w:bCs/>
        </w:rPr>
        <w:t>ευρώ.</w:t>
      </w:r>
    </w:p>
    <w:p w14:paraId="74C9DB67" w14:textId="442A5DA5" w:rsidR="00126420" w:rsidRDefault="00126420" w:rsidP="00126420">
      <w:pPr>
        <w:pStyle w:val="ListParagraph"/>
        <w:numPr>
          <w:ilvl w:val="0"/>
          <w:numId w:val="42"/>
        </w:numPr>
        <w:jc w:val="both"/>
      </w:pPr>
      <w:r>
        <w:t xml:space="preserve">Υπενθυμίζεται ότι η παρούσα Κυβέρνηση μείωσε την προκαταβολή φόρου στο </w:t>
      </w:r>
      <w:r w:rsidR="006872C6">
        <w:t>80</w:t>
      </w:r>
      <w:r>
        <w:t xml:space="preserve">% για τα </w:t>
      </w:r>
      <w:r w:rsidR="006872C6">
        <w:t>νομικά</w:t>
      </w:r>
      <w:r>
        <w:t xml:space="preserve"> πρόσωπα που την είχε αυξήσει στο 100% ο ΣΥΡΙΖΑ.</w:t>
      </w:r>
    </w:p>
    <w:p w14:paraId="5104BF14" w14:textId="77777777" w:rsidR="00AD069C" w:rsidRDefault="00AD069C" w:rsidP="00FF4B39">
      <w:pPr>
        <w:jc w:val="both"/>
        <w:rPr>
          <w:b/>
          <w:bCs/>
        </w:rPr>
      </w:pPr>
    </w:p>
    <w:p w14:paraId="3EBF9534" w14:textId="6F0680CD" w:rsidR="00B63702" w:rsidRDefault="00671DB4" w:rsidP="00B63702">
      <w:pPr>
        <w:jc w:val="both"/>
        <w:rPr>
          <w:b/>
          <w:bCs/>
        </w:rPr>
      </w:pPr>
      <w:r>
        <w:rPr>
          <w:b/>
          <w:bCs/>
        </w:rPr>
        <w:t>Με το 9</w:t>
      </w:r>
      <w:r w:rsidRPr="00671DB4">
        <w:rPr>
          <w:b/>
          <w:bCs/>
          <w:vertAlign w:val="superscript"/>
        </w:rPr>
        <w:t>ο</w:t>
      </w:r>
      <w:r>
        <w:rPr>
          <w:b/>
          <w:bCs/>
        </w:rPr>
        <w:t xml:space="preserve"> άρθρο προτείνεται μείωση του φόρου εισοδήματος από ακίνητη περιουσία για εισοδήματα έως 12.000 από 15% σε 5%. </w:t>
      </w:r>
      <w:r w:rsidRPr="00671DB4">
        <w:t>Παραμένουν οι συντελεστές 35% και 45% που ισχύουν για εισοδήματα από 12.001 και από 35.000 ευρώ αντίστοιχα.</w:t>
      </w:r>
    </w:p>
    <w:p w14:paraId="5E61E3CA" w14:textId="455A5080" w:rsidR="00B63702" w:rsidRDefault="00B63702" w:rsidP="00B63702">
      <w:pPr>
        <w:pStyle w:val="ListParagraph"/>
        <w:numPr>
          <w:ilvl w:val="0"/>
          <w:numId w:val="44"/>
        </w:numPr>
        <w:jc w:val="both"/>
        <w:rPr>
          <w:b/>
          <w:bCs/>
        </w:rPr>
      </w:pPr>
      <w:r w:rsidRPr="002D1C5C">
        <w:rPr>
          <w:b/>
          <w:bCs/>
        </w:rPr>
        <w:t>Με βάση τις δηλώσεις εισοδήματος έτους 2023 (φορολογικό έτος 2022) εκτιμάται απώλεια εσόδων από τη μείωση του αναλογούντος φόρου εισοδήματος</w:t>
      </w:r>
      <w:r w:rsidR="00E355D5">
        <w:rPr>
          <w:b/>
          <w:bCs/>
        </w:rPr>
        <w:t xml:space="preserve"> από ακίνητα</w:t>
      </w:r>
      <w:r w:rsidRPr="002D1C5C">
        <w:rPr>
          <w:b/>
          <w:bCs/>
        </w:rPr>
        <w:t xml:space="preserve"> φυσικών προσώπων ύψους </w:t>
      </w:r>
      <w:r w:rsidR="002D1C5C" w:rsidRPr="002D1C5C">
        <w:rPr>
          <w:b/>
          <w:bCs/>
        </w:rPr>
        <w:t>656 εκατ. ευρώ</w:t>
      </w:r>
      <w:r w:rsidRPr="002D1C5C">
        <w:rPr>
          <w:b/>
          <w:bCs/>
        </w:rPr>
        <w:t xml:space="preserve"> ετησίως.</w:t>
      </w:r>
    </w:p>
    <w:p w14:paraId="31B443E4" w14:textId="77777777" w:rsidR="00B80BEC" w:rsidRDefault="00B80BEC" w:rsidP="00CB517D">
      <w:pPr>
        <w:jc w:val="both"/>
        <w:rPr>
          <w:b/>
          <w:bCs/>
        </w:rPr>
      </w:pPr>
    </w:p>
    <w:p w14:paraId="0621E243" w14:textId="5124ABF0" w:rsidR="00CB517D" w:rsidRDefault="00B80BEC" w:rsidP="00CB517D">
      <w:pPr>
        <w:jc w:val="both"/>
        <w:rPr>
          <w:b/>
          <w:bCs/>
        </w:rPr>
      </w:pPr>
      <w:r>
        <w:rPr>
          <w:b/>
          <w:bCs/>
        </w:rPr>
        <w:t>Με το 10</w:t>
      </w:r>
      <w:r w:rsidRPr="00B80BEC">
        <w:rPr>
          <w:b/>
          <w:bCs/>
          <w:vertAlign w:val="superscript"/>
        </w:rPr>
        <w:t>ο</w:t>
      </w:r>
      <w:r>
        <w:rPr>
          <w:b/>
          <w:bCs/>
        </w:rPr>
        <w:t xml:space="preserve"> άρθρο  </w:t>
      </w:r>
      <w:r w:rsidR="00333BB9">
        <w:rPr>
          <w:b/>
          <w:bCs/>
        </w:rPr>
        <w:t>προτείνεται  η αντικατάσταση της αυτοτελούς φορολόγησης μερισμάτων, τόκων και δικαιωμάτων με ενσωμάτωση των εισοδημάτων αυτών προσθετικά στην προοδευτική κλίμακα φορολόγησης λοιπών εισοδημάτων (9% έως 49%)</w:t>
      </w:r>
    </w:p>
    <w:p w14:paraId="5E3B4290" w14:textId="0A12B293" w:rsidR="00187D46" w:rsidRPr="00C42582" w:rsidRDefault="00187D46" w:rsidP="00187D46">
      <w:pPr>
        <w:pStyle w:val="ListParagraph"/>
        <w:numPr>
          <w:ilvl w:val="0"/>
          <w:numId w:val="44"/>
        </w:numPr>
        <w:jc w:val="both"/>
        <w:rPr>
          <w:b/>
          <w:bCs/>
        </w:rPr>
      </w:pPr>
      <w:r w:rsidRPr="00C42582">
        <w:rPr>
          <w:b/>
          <w:bCs/>
        </w:rPr>
        <w:t xml:space="preserve">Με βάση τις δηλώσεις εισοδήματος έτους 2023 (φορολογικό έτος 2022) και με την υπόθεση ότι τα δηλωθέντα σχετικά ποσά παραμένουν </w:t>
      </w:r>
      <w:r w:rsidR="00623255" w:rsidRPr="00C42582">
        <w:rPr>
          <w:b/>
          <w:bCs/>
        </w:rPr>
        <w:t>σταθερά,</w:t>
      </w:r>
      <w:r w:rsidRPr="00C42582">
        <w:rPr>
          <w:b/>
          <w:bCs/>
        </w:rPr>
        <w:t xml:space="preserve"> εκτιμάται αύξηση εσόδων από την αύξηση του αναλογούντος φόρου εισοδήματος φυσικών προσώπων </w:t>
      </w:r>
      <w:r w:rsidR="00BC7B34" w:rsidRPr="00C42582">
        <w:rPr>
          <w:b/>
          <w:bCs/>
        </w:rPr>
        <w:t>περίπου</w:t>
      </w:r>
      <w:r w:rsidRPr="00C42582">
        <w:rPr>
          <w:b/>
          <w:bCs/>
        </w:rPr>
        <w:t xml:space="preserve"> 1,</w:t>
      </w:r>
      <w:r w:rsidR="00C42582" w:rsidRPr="00C42582">
        <w:rPr>
          <w:b/>
          <w:bCs/>
        </w:rPr>
        <w:t>9</w:t>
      </w:r>
      <w:r w:rsidRPr="00C42582">
        <w:rPr>
          <w:b/>
          <w:bCs/>
        </w:rPr>
        <w:t xml:space="preserve"> δισ. ευρώ ετησίως.</w:t>
      </w:r>
    </w:p>
    <w:p w14:paraId="3D2FB2F5" w14:textId="5DE4782B" w:rsidR="00623255" w:rsidRPr="00C42582" w:rsidRDefault="00623255" w:rsidP="00187D46">
      <w:pPr>
        <w:pStyle w:val="ListParagraph"/>
        <w:numPr>
          <w:ilvl w:val="0"/>
          <w:numId w:val="44"/>
        </w:numPr>
        <w:jc w:val="both"/>
      </w:pPr>
      <w:r w:rsidRPr="00C42582">
        <w:t xml:space="preserve">Σημειώνεται ότι το 2023 (φορολογικό έτος 2022) δηλώθηκαν μερίσματα (που φορολογούνται αυτοτελώς με 5%) ύψους 4,66 δισ. ευρώ, τόκοι (που φορολογούνται </w:t>
      </w:r>
      <w:r w:rsidRPr="00C42582">
        <w:lastRenderedPageBreak/>
        <w:t xml:space="preserve">αυτοτελώς με 15%) ύψους 337 εκατ. ευρώ και δικαιώματα (που φορολογούνται αυτοτελώς με 20%) ύψους 43 εκατ. ευρώ. </w:t>
      </w:r>
    </w:p>
    <w:p w14:paraId="617F93F2" w14:textId="5172C6E8" w:rsidR="00623255" w:rsidRPr="00C42582" w:rsidRDefault="00623255" w:rsidP="00187D46">
      <w:pPr>
        <w:pStyle w:val="ListParagraph"/>
        <w:numPr>
          <w:ilvl w:val="0"/>
          <w:numId w:val="44"/>
        </w:numPr>
        <w:jc w:val="both"/>
        <w:rPr>
          <w:b/>
          <w:bCs/>
        </w:rPr>
      </w:pPr>
      <w:r w:rsidRPr="00C42582">
        <w:rPr>
          <w:b/>
          <w:bCs/>
        </w:rPr>
        <w:t>Ωστόσο, τα μερίσματα έχουν σημαντική ελαστικότητα ανάλογα με τον συντελεστή φορολόγησή τους, καθώς είναι στην επιλογή της επιχείρησης η διανομή ή μη μερίσματος και σε ποιο ύψος. Το 2019 με συντελεστή 10% δηλώθηκαν 1,4 δισ. ευρώ μερίσματα (αντίστοιχα και τα προηγούμενα έτη 2017-2018 τα μερίσματα ήταν περί του 1,3 δισ. ευρώ), με αναλογούν φόρο 142 εκατ. ευρώ. Μετά την μείωση στο 5% είχαμε δηλωθέντα μερίσματα 5,3 δισ. ευρώ το 2020, 4,2 δισ. ευρώ το 2021 και 4,7 δισ. ευρώ το φορολογικό έτος 2022 με αναλογούν φόρο 233 εκατ. ευρώ. Είναι προφανές ότι σε περίπτωση αύξησης, οι επιχειρήσεις θα προτιμήσουν και πάλι, την μη διανομή μερίσματος, όπως έκαναν παλαιότερα.</w:t>
      </w:r>
      <w:r w:rsidR="008B5CC9" w:rsidRPr="00C42582">
        <w:rPr>
          <w:b/>
          <w:bCs/>
        </w:rPr>
        <w:t xml:space="preserve"> </w:t>
      </w:r>
    </w:p>
    <w:p w14:paraId="4B88727B" w14:textId="761E9230" w:rsidR="00847AB7" w:rsidRPr="00C42582" w:rsidRDefault="00847AB7" w:rsidP="00187D46">
      <w:pPr>
        <w:pStyle w:val="ListParagraph"/>
        <w:numPr>
          <w:ilvl w:val="0"/>
          <w:numId w:val="44"/>
        </w:numPr>
        <w:jc w:val="both"/>
        <w:rPr>
          <w:b/>
          <w:bCs/>
        </w:rPr>
      </w:pPr>
      <w:r w:rsidRPr="00C42582">
        <w:rPr>
          <w:b/>
          <w:bCs/>
        </w:rPr>
        <w:t>Η φορολόγηση και τον τόκων καταθέσεων στην κλίμακα είναι ένα μέτρο αντίθετο προς την αποταμίευση και επικίνδυνο για φυγή κεφαλαίων από το εγχώριο τραπεζικό σύστημα.</w:t>
      </w:r>
    </w:p>
    <w:p w14:paraId="38D77E8F" w14:textId="77777777" w:rsidR="00C8652F" w:rsidRPr="00780931" w:rsidRDefault="00C8652F" w:rsidP="00C8652F">
      <w:pPr>
        <w:pStyle w:val="ListParagraph"/>
        <w:jc w:val="both"/>
        <w:rPr>
          <w:b/>
          <w:bCs/>
          <w:color w:val="FF0000"/>
        </w:rPr>
      </w:pPr>
    </w:p>
    <w:p w14:paraId="7F09BD52" w14:textId="0A5DF6D4" w:rsidR="00C8652F" w:rsidRPr="008B74A2" w:rsidRDefault="00C8652F" w:rsidP="00C8652F">
      <w:pPr>
        <w:jc w:val="both"/>
        <w:rPr>
          <w:b/>
          <w:bCs/>
        </w:rPr>
      </w:pPr>
      <w:r w:rsidRPr="008B74A2">
        <w:rPr>
          <w:b/>
          <w:bCs/>
        </w:rPr>
        <w:t>Με το 11</w:t>
      </w:r>
      <w:r w:rsidRPr="008B74A2">
        <w:rPr>
          <w:b/>
          <w:bCs/>
          <w:vertAlign w:val="superscript"/>
        </w:rPr>
        <w:t>ο</w:t>
      </w:r>
      <w:r w:rsidRPr="008B74A2">
        <w:rPr>
          <w:b/>
          <w:bCs/>
        </w:rPr>
        <w:t xml:space="preserve"> άρθρο  προτείνεται  η αντικατάσταση της αυτοτελούς φορολόγησης εισοδημάτων από υπεραξία μεταβίβασης </w:t>
      </w:r>
      <w:r w:rsidR="00E355D5" w:rsidRPr="008B74A2">
        <w:rPr>
          <w:b/>
          <w:bCs/>
        </w:rPr>
        <w:t>κεφαλαίου</w:t>
      </w:r>
      <w:r w:rsidRPr="008B74A2">
        <w:rPr>
          <w:b/>
          <w:bCs/>
        </w:rPr>
        <w:t xml:space="preserve"> (15%) με ενσωμάτωση των εισοδημάτων αυτών προσθετικά στην προοδευτική κλίμακα φορολόγησης λοιπών εισοδημάτων (9% έως 49%)</w:t>
      </w:r>
    </w:p>
    <w:p w14:paraId="33B0F46B" w14:textId="13923172" w:rsidR="00C8652F" w:rsidRPr="008B74A2" w:rsidRDefault="00C8652F" w:rsidP="00C8652F">
      <w:pPr>
        <w:pStyle w:val="ListParagraph"/>
        <w:numPr>
          <w:ilvl w:val="0"/>
          <w:numId w:val="44"/>
        </w:numPr>
        <w:jc w:val="both"/>
        <w:rPr>
          <w:b/>
          <w:bCs/>
        </w:rPr>
      </w:pPr>
      <w:r w:rsidRPr="008B74A2">
        <w:rPr>
          <w:b/>
          <w:bCs/>
        </w:rPr>
        <w:t xml:space="preserve">Με βάση τις δηλώσεις εισοδήματος έτους 2023 (φορολογικό έτος 2022) και με την υπόθεση ότι τα δηλωθέντα σχετικά ποσά παραμένουν σταθερά, εκτιμάται αύξηση εσόδων από την αύξηση του αναλογούντος φόρου εισοδήματος φυσικών προσώπων περίπου </w:t>
      </w:r>
      <w:r w:rsidR="009D7F30" w:rsidRPr="008B74A2">
        <w:rPr>
          <w:b/>
          <w:bCs/>
        </w:rPr>
        <w:t>0,</w:t>
      </w:r>
      <w:r w:rsidR="008B74A2" w:rsidRPr="008B74A2">
        <w:rPr>
          <w:b/>
          <w:bCs/>
        </w:rPr>
        <w:t>3</w:t>
      </w:r>
      <w:r w:rsidR="009D7F30" w:rsidRPr="008B74A2">
        <w:rPr>
          <w:b/>
          <w:bCs/>
        </w:rPr>
        <w:t xml:space="preserve"> δισ.</w:t>
      </w:r>
      <w:r w:rsidRPr="008B74A2">
        <w:rPr>
          <w:b/>
          <w:bCs/>
        </w:rPr>
        <w:t xml:space="preserve"> ευρώ ετησίως.</w:t>
      </w:r>
    </w:p>
    <w:p w14:paraId="269D69A4" w14:textId="6BCCC069" w:rsidR="00C8652F" w:rsidRPr="008B74A2" w:rsidRDefault="00C8652F" w:rsidP="00C8652F">
      <w:pPr>
        <w:pStyle w:val="ListParagraph"/>
        <w:numPr>
          <w:ilvl w:val="0"/>
          <w:numId w:val="44"/>
        </w:numPr>
        <w:jc w:val="both"/>
      </w:pPr>
      <w:r w:rsidRPr="008B74A2">
        <w:t xml:space="preserve">Σημειώνεται ότι το 2023 (φορολογικό έτος 2022) δηλώθηκαν </w:t>
      </w:r>
      <w:r w:rsidR="00F953B1" w:rsidRPr="008B74A2">
        <w:t>εισοδήματα από υπεραξία μεταβίβασης κεφαλαίου</w:t>
      </w:r>
      <w:r w:rsidRPr="008B74A2">
        <w:t xml:space="preserve"> (που φορολογούνται αυτοτελώς με </w:t>
      </w:r>
      <w:r w:rsidR="00F953B1" w:rsidRPr="008B74A2">
        <w:t>15</w:t>
      </w:r>
      <w:r w:rsidRPr="008B74A2">
        <w:t xml:space="preserve">%) ύψους </w:t>
      </w:r>
      <w:r w:rsidR="00F953B1" w:rsidRPr="008B74A2">
        <w:t>1,1 δις.</w:t>
      </w:r>
      <w:r w:rsidRPr="008B74A2">
        <w:t xml:space="preserve"> ευρώ. </w:t>
      </w:r>
    </w:p>
    <w:p w14:paraId="1AA1EE25" w14:textId="62E5339D" w:rsidR="00333BB9" w:rsidRPr="008B74A2" w:rsidRDefault="005450B0" w:rsidP="004F0B56">
      <w:pPr>
        <w:pStyle w:val="ListParagraph"/>
        <w:numPr>
          <w:ilvl w:val="0"/>
          <w:numId w:val="44"/>
        </w:numPr>
        <w:jc w:val="both"/>
        <w:rPr>
          <w:b/>
          <w:bCs/>
        </w:rPr>
      </w:pPr>
      <w:r w:rsidRPr="008B74A2">
        <w:rPr>
          <w:b/>
          <w:bCs/>
        </w:rPr>
        <w:t xml:space="preserve">Η φορολόγηση της υπεραξίας μεταβίβασης κεφαλαίου με τρόπο αθροιζόμενο με τα λοιπά εισοδήματα είναι μέτρο αντι-αναπτυξιακό καθώς αυξάνει τα εμπόδια και το κόστος στη μεταβίβαση επιχειρήσεων. Είναι αντιληπτό ότι η αύξηση του σχετικού φόρου αναμένεται και σε αυτή τη περίπτωση να μειώσει τα σχετικά δηλωθέντα εισοδήματα και άρα τα φορολογικά έσοδα.  </w:t>
      </w:r>
    </w:p>
    <w:p w14:paraId="4B4020A9" w14:textId="77777777" w:rsidR="00BC7B34" w:rsidRDefault="00BC7B34" w:rsidP="00042214">
      <w:pPr>
        <w:jc w:val="both"/>
        <w:rPr>
          <w:b/>
          <w:bCs/>
        </w:rPr>
      </w:pPr>
    </w:p>
    <w:p w14:paraId="2DCCB08F" w14:textId="396AA4C6" w:rsidR="00042214" w:rsidRDefault="00042214" w:rsidP="00042214">
      <w:pPr>
        <w:jc w:val="both"/>
      </w:pPr>
      <w:r>
        <w:rPr>
          <w:b/>
          <w:bCs/>
        </w:rPr>
        <w:t>Με το 12</w:t>
      </w:r>
      <w:r w:rsidRPr="00042214">
        <w:rPr>
          <w:b/>
          <w:bCs/>
          <w:vertAlign w:val="superscript"/>
        </w:rPr>
        <w:t>ο</w:t>
      </w:r>
      <w:r>
        <w:rPr>
          <w:b/>
          <w:bCs/>
        </w:rPr>
        <w:t xml:space="preserve"> άρθρο ορίζεται ο τρόπος παρακράτησης φόρου μερισμάτων. </w:t>
      </w:r>
      <w:r w:rsidRPr="00042214">
        <w:t xml:space="preserve">Αποτελεί </w:t>
      </w:r>
      <w:r>
        <w:t>τεχνικό άρθρο που συνοδεύει το άρθρο 10.</w:t>
      </w:r>
    </w:p>
    <w:p w14:paraId="25BFB895" w14:textId="77777777" w:rsidR="00042214" w:rsidRDefault="00042214" w:rsidP="00042214">
      <w:pPr>
        <w:jc w:val="both"/>
      </w:pPr>
    </w:p>
    <w:p w14:paraId="7275B396" w14:textId="77777777" w:rsidR="008F2663" w:rsidRDefault="00200E7E" w:rsidP="00042214">
      <w:pPr>
        <w:jc w:val="both"/>
        <w:rPr>
          <w:b/>
          <w:bCs/>
        </w:rPr>
      </w:pPr>
      <w:r>
        <w:t xml:space="preserve">Με το </w:t>
      </w:r>
      <w:r w:rsidRPr="00200E7E">
        <w:rPr>
          <w:b/>
          <w:bCs/>
        </w:rPr>
        <w:t>13</w:t>
      </w:r>
      <w:r w:rsidRPr="00200E7E">
        <w:rPr>
          <w:b/>
          <w:bCs/>
          <w:vertAlign w:val="superscript"/>
        </w:rPr>
        <w:t>ο</w:t>
      </w:r>
      <w:r w:rsidRPr="00200E7E">
        <w:rPr>
          <w:b/>
          <w:bCs/>
        </w:rPr>
        <w:t xml:space="preserve"> άρθρο</w:t>
      </w:r>
      <w:r>
        <w:t xml:space="preserve"> </w:t>
      </w:r>
      <w:r w:rsidR="00331C90" w:rsidRPr="00827380">
        <w:rPr>
          <w:b/>
          <w:bCs/>
        </w:rPr>
        <w:t xml:space="preserve">καταργείται το ελάχιστο ποσό καθαρού εισοδήματος από την άσκηση επαγγελματικής δραστηριότητας που θεσπίστηκε </w:t>
      </w:r>
      <w:r w:rsidR="00827380" w:rsidRPr="00827380">
        <w:rPr>
          <w:b/>
          <w:bCs/>
        </w:rPr>
        <w:t xml:space="preserve">πρόσφατα. </w:t>
      </w:r>
    </w:p>
    <w:p w14:paraId="220A5AAE" w14:textId="30F64304" w:rsidR="00042214" w:rsidRPr="008F2663" w:rsidRDefault="00827380" w:rsidP="008F2663">
      <w:pPr>
        <w:pStyle w:val="ListParagraph"/>
        <w:numPr>
          <w:ilvl w:val="0"/>
          <w:numId w:val="46"/>
        </w:numPr>
        <w:jc w:val="both"/>
        <w:rPr>
          <w:b/>
          <w:bCs/>
        </w:rPr>
      </w:pPr>
      <w:r w:rsidRPr="008F2663">
        <w:rPr>
          <w:b/>
          <w:bCs/>
        </w:rPr>
        <w:t>Προκαλείται εκτιμώμενη απώλεια εσόδων από τη βεβαίωση του φόρου εισοδήματος φυσικών προσώπων ύψους 600 εκατ. ευρώ ετησίως.</w:t>
      </w:r>
    </w:p>
    <w:p w14:paraId="63A060EF" w14:textId="77777777" w:rsidR="00827380" w:rsidRDefault="00827380" w:rsidP="00042214">
      <w:pPr>
        <w:jc w:val="both"/>
        <w:rPr>
          <w:b/>
          <w:bCs/>
        </w:rPr>
      </w:pPr>
    </w:p>
    <w:p w14:paraId="0FD2FC0B" w14:textId="2690210B" w:rsidR="008F2663" w:rsidRDefault="008F2663" w:rsidP="00042214">
      <w:pPr>
        <w:jc w:val="both"/>
        <w:rPr>
          <w:b/>
          <w:bCs/>
        </w:rPr>
      </w:pPr>
      <w:r>
        <w:rPr>
          <w:b/>
          <w:bCs/>
        </w:rPr>
        <w:t>Με το 14</w:t>
      </w:r>
      <w:r w:rsidRPr="008F2663">
        <w:rPr>
          <w:b/>
          <w:bCs/>
          <w:vertAlign w:val="superscript"/>
        </w:rPr>
        <w:t>ο</w:t>
      </w:r>
      <w:r>
        <w:rPr>
          <w:b/>
          <w:bCs/>
        </w:rPr>
        <w:t xml:space="preserve"> άρθρο μειώνονται οι ασφαλιστικές εισφορές στον ιδιωτικό τομέα (εξαιρείται το δημόσιο) κατά 1,13% ετησίως και έως 4,5% στην τετραετία.</w:t>
      </w:r>
    </w:p>
    <w:p w14:paraId="62148EF8" w14:textId="2D88788D" w:rsidR="008F2663" w:rsidRDefault="008F2663" w:rsidP="008F2663">
      <w:pPr>
        <w:pStyle w:val="ListParagraph"/>
        <w:numPr>
          <w:ilvl w:val="0"/>
          <w:numId w:val="45"/>
        </w:numPr>
        <w:jc w:val="both"/>
        <w:rPr>
          <w:b/>
          <w:bCs/>
        </w:rPr>
      </w:pPr>
      <w:r>
        <w:rPr>
          <w:b/>
          <w:bCs/>
        </w:rPr>
        <w:lastRenderedPageBreak/>
        <w:t xml:space="preserve">Από το μέτρο προκαλείται εκτιμώμενη </w:t>
      </w:r>
      <w:r w:rsidR="0031105C">
        <w:rPr>
          <w:b/>
          <w:bCs/>
        </w:rPr>
        <w:t xml:space="preserve">καθαρή </w:t>
      </w:r>
      <w:r>
        <w:rPr>
          <w:b/>
          <w:bCs/>
        </w:rPr>
        <w:t xml:space="preserve">απώλεια εσόδων ύψους </w:t>
      </w:r>
      <w:r w:rsidR="0031105C">
        <w:rPr>
          <w:b/>
          <w:bCs/>
        </w:rPr>
        <w:t>0,43 δισ. ευρώ το 1</w:t>
      </w:r>
      <w:r w:rsidR="0031105C" w:rsidRPr="0031105C">
        <w:rPr>
          <w:b/>
          <w:bCs/>
          <w:vertAlign w:val="superscript"/>
        </w:rPr>
        <w:t>ο</w:t>
      </w:r>
      <w:r w:rsidR="0031105C">
        <w:rPr>
          <w:b/>
          <w:bCs/>
        </w:rPr>
        <w:t xml:space="preserve"> έτος, 0,86 δισ. ευρώ το 2</w:t>
      </w:r>
      <w:r w:rsidR="0031105C" w:rsidRPr="0031105C">
        <w:rPr>
          <w:b/>
          <w:bCs/>
          <w:vertAlign w:val="superscript"/>
        </w:rPr>
        <w:t>ο</w:t>
      </w:r>
      <w:r w:rsidR="0031105C">
        <w:rPr>
          <w:b/>
          <w:bCs/>
        </w:rPr>
        <w:t xml:space="preserve"> έτος, 1,28 δισ. ευρώ το τρίτο έτος και 1,7 δισ. ευρώ το 4</w:t>
      </w:r>
      <w:r w:rsidR="0031105C" w:rsidRPr="0031105C">
        <w:rPr>
          <w:b/>
          <w:bCs/>
          <w:vertAlign w:val="superscript"/>
        </w:rPr>
        <w:t>ο</w:t>
      </w:r>
      <w:r w:rsidR="0031105C">
        <w:rPr>
          <w:b/>
          <w:bCs/>
        </w:rPr>
        <w:t xml:space="preserve"> έτος εφαρμογής. Η συνολική απώλεια εσόδων ανέρχεται σε 4,27 δισ. ευρώ στην τετραετία.</w:t>
      </w:r>
    </w:p>
    <w:p w14:paraId="76C99647" w14:textId="77777777" w:rsidR="00E96109" w:rsidRDefault="00E96109" w:rsidP="00E96109">
      <w:pPr>
        <w:jc w:val="both"/>
        <w:rPr>
          <w:b/>
          <w:bCs/>
        </w:rPr>
      </w:pPr>
    </w:p>
    <w:p w14:paraId="48C541F8" w14:textId="51D2E421" w:rsidR="00E96109" w:rsidRDefault="00E96109" w:rsidP="00E96109">
      <w:pPr>
        <w:jc w:val="both"/>
        <w:rPr>
          <w:b/>
          <w:bCs/>
        </w:rPr>
      </w:pPr>
      <w:r>
        <w:rPr>
          <w:b/>
          <w:bCs/>
        </w:rPr>
        <w:t>Με το 15</w:t>
      </w:r>
      <w:r w:rsidRPr="00E96109">
        <w:rPr>
          <w:b/>
          <w:bCs/>
          <w:vertAlign w:val="superscript"/>
        </w:rPr>
        <w:t>ο</w:t>
      </w:r>
      <w:r>
        <w:rPr>
          <w:b/>
          <w:bCs/>
        </w:rPr>
        <w:t xml:space="preserve"> άρθρο καταργείται το τέλος επιτ</w:t>
      </w:r>
      <w:r w:rsidRPr="00E96109">
        <w:rPr>
          <w:b/>
          <w:bCs/>
        </w:rPr>
        <w:t>ηδεύματος για τους επιτηδευματίες και ασκούντες ελευθέριο επάγγελμα</w:t>
      </w:r>
      <w:r w:rsidR="00E355D5">
        <w:rPr>
          <w:b/>
          <w:bCs/>
        </w:rPr>
        <w:t>.</w:t>
      </w:r>
    </w:p>
    <w:p w14:paraId="7AD50EAF" w14:textId="6B37E4DD" w:rsidR="00E96109" w:rsidRPr="00E96109" w:rsidRDefault="00E96109" w:rsidP="00E96109">
      <w:pPr>
        <w:pStyle w:val="ListParagraph"/>
        <w:numPr>
          <w:ilvl w:val="0"/>
          <w:numId w:val="45"/>
        </w:numPr>
        <w:jc w:val="both"/>
        <w:rPr>
          <w:b/>
          <w:bCs/>
        </w:rPr>
      </w:pPr>
      <w:r>
        <w:rPr>
          <w:b/>
          <w:bCs/>
        </w:rPr>
        <w:t>Σημειώνεται ότι το τέλος επιτηδεύματος για τη συγκεκριμένη ομάδα ήδη έχει μειωθεί κατά 50% από 1/1/2024. Η πλήρης κατάργηση έχει εκτιμώμενη επιπλέον απώλεια εσόδων ύψους 120 εκατ. ευρώ ετησίως.</w:t>
      </w:r>
    </w:p>
    <w:p w14:paraId="7753D0FA" w14:textId="77777777" w:rsidR="00827380" w:rsidRPr="00827380" w:rsidRDefault="00827380" w:rsidP="00042214">
      <w:pPr>
        <w:jc w:val="both"/>
        <w:rPr>
          <w:b/>
          <w:bCs/>
        </w:rPr>
      </w:pPr>
    </w:p>
    <w:p w14:paraId="009F9EF8" w14:textId="77777777" w:rsidR="0065768B" w:rsidRDefault="0065768B" w:rsidP="0065768B">
      <w:pPr>
        <w:jc w:val="both"/>
        <w:rPr>
          <w:b/>
          <w:bCs/>
        </w:rPr>
      </w:pPr>
    </w:p>
    <w:p w14:paraId="063143C3" w14:textId="77777777" w:rsidR="0065768B" w:rsidRDefault="0065768B" w:rsidP="0065768B">
      <w:pPr>
        <w:jc w:val="both"/>
        <w:rPr>
          <w:b/>
          <w:bCs/>
        </w:rPr>
      </w:pPr>
    </w:p>
    <w:p w14:paraId="6835E67A" w14:textId="77777777" w:rsidR="0065768B" w:rsidRPr="0065768B" w:rsidRDefault="0065768B" w:rsidP="0065768B">
      <w:pPr>
        <w:jc w:val="both"/>
        <w:rPr>
          <w:b/>
          <w:bCs/>
        </w:rPr>
      </w:pPr>
    </w:p>
    <w:sectPr w:rsidR="0065768B" w:rsidRPr="0065768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A85AF" w14:textId="77777777" w:rsidR="0057664A" w:rsidRDefault="0057664A" w:rsidP="0004316D">
      <w:pPr>
        <w:spacing w:after="0" w:line="240" w:lineRule="auto"/>
      </w:pPr>
      <w:r>
        <w:separator/>
      </w:r>
    </w:p>
  </w:endnote>
  <w:endnote w:type="continuationSeparator" w:id="0">
    <w:p w14:paraId="1A98F486" w14:textId="77777777" w:rsidR="0057664A" w:rsidRDefault="0057664A" w:rsidP="0004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01620"/>
      <w:docPartObj>
        <w:docPartGallery w:val="Page Numbers (Bottom of Page)"/>
        <w:docPartUnique/>
      </w:docPartObj>
    </w:sdtPr>
    <w:sdtEndPr>
      <w:rPr>
        <w:noProof/>
      </w:rPr>
    </w:sdtEndPr>
    <w:sdtContent>
      <w:p w14:paraId="28B8455E" w14:textId="60F2FA32" w:rsidR="0004316D" w:rsidRDefault="0004316D">
        <w:pPr>
          <w:pStyle w:val="Footer"/>
          <w:jc w:val="right"/>
        </w:pPr>
        <w:r>
          <w:fldChar w:fldCharType="begin"/>
        </w:r>
        <w:r>
          <w:instrText xml:space="preserve"> PAGE   \* MERGEFORMAT </w:instrText>
        </w:r>
        <w:r>
          <w:fldChar w:fldCharType="separate"/>
        </w:r>
        <w:r w:rsidR="007C3459">
          <w:rPr>
            <w:noProof/>
          </w:rPr>
          <w:t>1</w:t>
        </w:r>
        <w:r>
          <w:rPr>
            <w:noProof/>
          </w:rPr>
          <w:fldChar w:fldCharType="end"/>
        </w:r>
      </w:p>
    </w:sdtContent>
  </w:sdt>
  <w:p w14:paraId="68DCDE4A" w14:textId="77777777" w:rsidR="0004316D" w:rsidRDefault="00043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F12C" w14:textId="77777777" w:rsidR="0057664A" w:rsidRDefault="0057664A" w:rsidP="0004316D">
      <w:pPr>
        <w:spacing w:after="0" w:line="240" w:lineRule="auto"/>
      </w:pPr>
      <w:r>
        <w:separator/>
      </w:r>
    </w:p>
  </w:footnote>
  <w:footnote w:type="continuationSeparator" w:id="0">
    <w:p w14:paraId="0D9A12A2" w14:textId="77777777" w:rsidR="0057664A" w:rsidRDefault="0057664A" w:rsidP="00043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041"/>
    <w:multiLevelType w:val="hybridMultilevel"/>
    <w:tmpl w:val="488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5964"/>
    <w:multiLevelType w:val="hybridMultilevel"/>
    <w:tmpl w:val="439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2280"/>
    <w:multiLevelType w:val="hybridMultilevel"/>
    <w:tmpl w:val="6BFC209C"/>
    <w:lvl w:ilvl="0" w:tplc="4C1EB01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5F619F"/>
    <w:multiLevelType w:val="hybridMultilevel"/>
    <w:tmpl w:val="9F3A065E"/>
    <w:lvl w:ilvl="0" w:tplc="870A28A2">
      <w:start w:val="1"/>
      <w:numFmt w:val="bullet"/>
      <w:lvlText w:val="•"/>
      <w:lvlJc w:val="left"/>
      <w:pPr>
        <w:tabs>
          <w:tab w:val="num" w:pos="720"/>
        </w:tabs>
        <w:ind w:left="720" w:hanging="360"/>
      </w:pPr>
      <w:rPr>
        <w:rFonts w:ascii="Arial" w:hAnsi="Arial" w:hint="default"/>
      </w:rPr>
    </w:lvl>
    <w:lvl w:ilvl="1" w:tplc="4D8C4196" w:tentative="1">
      <w:start w:val="1"/>
      <w:numFmt w:val="bullet"/>
      <w:lvlText w:val="•"/>
      <w:lvlJc w:val="left"/>
      <w:pPr>
        <w:tabs>
          <w:tab w:val="num" w:pos="1440"/>
        </w:tabs>
        <w:ind w:left="1440" w:hanging="360"/>
      </w:pPr>
      <w:rPr>
        <w:rFonts w:ascii="Arial" w:hAnsi="Arial" w:hint="default"/>
      </w:rPr>
    </w:lvl>
    <w:lvl w:ilvl="2" w:tplc="7E24BFFC" w:tentative="1">
      <w:start w:val="1"/>
      <w:numFmt w:val="bullet"/>
      <w:lvlText w:val="•"/>
      <w:lvlJc w:val="left"/>
      <w:pPr>
        <w:tabs>
          <w:tab w:val="num" w:pos="2160"/>
        </w:tabs>
        <w:ind w:left="2160" w:hanging="360"/>
      </w:pPr>
      <w:rPr>
        <w:rFonts w:ascii="Arial" w:hAnsi="Arial" w:hint="default"/>
      </w:rPr>
    </w:lvl>
    <w:lvl w:ilvl="3" w:tplc="C7AEEAC2" w:tentative="1">
      <w:start w:val="1"/>
      <w:numFmt w:val="bullet"/>
      <w:lvlText w:val="•"/>
      <w:lvlJc w:val="left"/>
      <w:pPr>
        <w:tabs>
          <w:tab w:val="num" w:pos="2880"/>
        </w:tabs>
        <w:ind w:left="2880" w:hanging="360"/>
      </w:pPr>
      <w:rPr>
        <w:rFonts w:ascii="Arial" w:hAnsi="Arial" w:hint="default"/>
      </w:rPr>
    </w:lvl>
    <w:lvl w:ilvl="4" w:tplc="C0203160" w:tentative="1">
      <w:start w:val="1"/>
      <w:numFmt w:val="bullet"/>
      <w:lvlText w:val="•"/>
      <w:lvlJc w:val="left"/>
      <w:pPr>
        <w:tabs>
          <w:tab w:val="num" w:pos="3600"/>
        </w:tabs>
        <w:ind w:left="3600" w:hanging="360"/>
      </w:pPr>
      <w:rPr>
        <w:rFonts w:ascii="Arial" w:hAnsi="Arial" w:hint="default"/>
      </w:rPr>
    </w:lvl>
    <w:lvl w:ilvl="5" w:tplc="8E549C9C" w:tentative="1">
      <w:start w:val="1"/>
      <w:numFmt w:val="bullet"/>
      <w:lvlText w:val="•"/>
      <w:lvlJc w:val="left"/>
      <w:pPr>
        <w:tabs>
          <w:tab w:val="num" w:pos="4320"/>
        </w:tabs>
        <w:ind w:left="4320" w:hanging="360"/>
      </w:pPr>
      <w:rPr>
        <w:rFonts w:ascii="Arial" w:hAnsi="Arial" w:hint="default"/>
      </w:rPr>
    </w:lvl>
    <w:lvl w:ilvl="6" w:tplc="AF8298FC" w:tentative="1">
      <w:start w:val="1"/>
      <w:numFmt w:val="bullet"/>
      <w:lvlText w:val="•"/>
      <w:lvlJc w:val="left"/>
      <w:pPr>
        <w:tabs>
          <w:tab w:val="num" w:pos="5040"/>
        </w:tabs>
        <w:ind w:left="5040" w:hanging="360"/>
      </w:pPr>
      <w:rPr>
        <w:rFonts w:ascii="Arial" w:hAnsi="Arial" w:hint="default"/>
      </w:rPr>
    </w:lvl>
    <w:lvl w:ilvl="7" w:tplc="790AED98" w:tentative="1">
      <w:start w:val="1"/>
      <w:numFmt w:val="bullet"/>
      <w:lvlText w:val="•"/>
      <w:lvlJc w:val="left"/>
      <w:pPr>
        <w:tabs>
          <w:tab w:val="num" w:pos="5760"/>
        </w:tabs>
        <w:ind w:left="5760" w:hanging="360"/>
      </w:pPr>
      <w:rPr>
        <w:rFonts w:ascii="Arial" w:hAnsi="Arial" w:hint="default"/>
      </w:rPr>
    </w:lvl>
    <w:lvl w:ilvl="8" w:tplc="7D0224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607C7"/>
    <w:multiLevelType w:val="hybridMultilevel"/>
    <w:tmpl w:val="F8B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88B"/>
    <w:multiLevelType w:val="hybridMultilevel"/>
    <w:tmpl w:val="62D2A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B10154"/>
    <w:multiLevelType w:val="hybridMultilevel"/>
    <w:tmpl w:val="219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3CB1"/>
    <w:multiLevelType w:val="hybridMultilevel"/>
    <w:tmpl w:val="62D2A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AC55C4"/>
    <w:multiLevelType w:val="hybridMultilevel"/>
    <w:tmpl w:val="1760265E"/>
    <w:lvl w:ilvl="0" w:tplc="6D7A6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51A6C"/>
    <w:multiLevelType w:val="hybridMultilevel"/>
    <w:tmpl w:val="62D2A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8B6AA5"/>
    <w:multiLevelType w:val="hybridMultilevel"/>
    <w:tmpl w:val="F53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7C70"/>
    <w:multiLevelType w:val="hybridMultilevel"/>
    <w:tmpl w:val="32E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10910"/>
    <w:multiLevelType w:val="hybridMultilevel"/>
    <w:tmpl w:val="9DA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13729"/>
    <w:multiLevelType w:val="hybridMultilevel"/>
    <w:tmpl w:val="A31C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97016"/>
    <w:multiLevelType w:val="hybridMultilevel"/>
    <w:tmpl w:val="93C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04A1"/>
    <w:multiLevelType w:val="hybridMultilevel"/>
    <w:tmpl w:val="93B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D45CE"/>
    <w:multiLevelType w:val="hybridMultilevel"/>
    <w:tmpl w:val="4B6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10303"/>
    <w:multiLevelType w:val="hybridMultilevel"/>
    <w:tmpl w:val="7BC01C98"/>
    <w:lvl w:ilvl="0" w:tplc="7A020E1E">
      <w:start w:val="1"/>
      <w:numFmt w:val="bullet"/>
      <w:lvlText w:val="•"/>
      <w:lvlJc w:val="left"/>
      <w:pPr>
        <w:tabs>
          <w:tab w:val="num" w:pos="720"/>
        </w:tabs>
        <w:ind w:left="720" w:hanging="360"/>
      </w:pPr>
      <w:rPr>
        <w:rFonts w:ascii="Arial" w:hAnsi="Arial" w:hint="default"/>
      </w:rPr>
    </w:lvl>
    <w:lvl w:ilvl="1" w:tplc="FA843556" w:tentative="1">
      <w:start w:val="1"/>
      <w:numFmt w:val="bullet"/>
      <w:lvlText w:val="•"/>
      <w:lvlJc w:val="left"/>
      <w:pPr>
        <w:tabs>
          <w:tab w:val="num" w:pos="1440"/>
        </w:tabs>
        <w:ind w:left="1440" w:hanging="360"/>
      </w:pPr>
      <w:rPr>
        <w:rFonts w:ascii="Arial" w:hAnsi="Arial" w:hint="default"/>
      </w:rPr>
    </w:lvl>
    <w:lvl w:ilvl="2" w:tplc="A3AC9FC6" w:tentative="1">
      <w:start w:val="1"/>
      <w:numFmt w:val="bullet"/>
      <w:lvlText w:val="•"/>
      <w:lvlJc w:val="left"/>
      <w:pPr>
        <w:tabs>
          <w:tab w:val="num" w:pos="2160"/>
        </w:tabs>
        <w:ind w:left="2160" w:hanging="360"/>
      </w:pPr>
      <w:rPr>
        <w:rFonts w:ascii="Arial" w:hAnsi="Arial" w:hint="default"/>
      </w:rPr>
    </w:lvl>
    <w:lvl w:ilvl="3" w:tplc="DD92B70A" w:tentative="1">
      <w:start w:val="1"/>
      <w:numFmt w:val="bullet"/>
      <w:lvlText w:val="•"/>
      <w:lvlJc w:val="left"/>
      <w:pPr>
        <w:tabs>
          <w:tab w:val="num" w:pos="2880"/>
        </w:tabs>
        <w:ind w:left="2880" w:hanging="360"/>
      </w:pPr>
      <w:rPr>
        <w:rFonts w:ascii="Arial" w:hAnsi="Arial" w:hint="default"/>
      </w:rPr>
    </w:lvl>
    <w:lvl w:ilvl="4" w:tplc="876A4D3C" w:tentative="1">
      <w:start w:val="1"/>
      <w:numFmt w:val="bullet"/>
      <w:lvlText w:val="•"/>
      <w:lvlJc w:val="left"/>
      <w:pPr>
        <w:tabs>
          <w:tab w:val="num" w:pos="3600"/>
        </w:tabs>
        <w:ind w:left="3600" w:hanging="360"/>
      </w:pPr>
      <w:rPr>
        <w:rFonts w:ascii="Arial" w:hAnsi="Arial" w:hint="default"/>
      </w:rPr>
    </w:lvl>
    <w:lvl w:ilvl="5" w:tplc="6714DFBA" w:tentative="1">
      <w:start w:val="1"/>
      <w:numFmt w:val="bullet"/>
      <w:lvlText w:val="•"/>
      <w:lvlJc w:val="left"/>
      <w:pPr>
        <w:tabs>
          <w:tab w:val="num" w:pos="4320"/>
        </w:tabs>
        <w:ind w:left="4320" w:hanging="360"/>
      </w:pPr>
      <w:rPr>
        <w:rFonts w:ascii="Arial" w:hAnsi="Arial" w:hint="default"/>
      </w:rPr>
    </w:lvl>
    <w:lvl w:ilvl="6" w:tplc="87F06B22" w:tentative="1">
      <w:start w:val="1"/>
      <w:numFmt w:val="bullet"/>
      <w:lvlText w:val="•"/>
      <w:lvlJc w:val="left"/>
      <w:pPr>
        <w:tabs>
          <w:tab w:val="num" w:pos="5040"/>
        </w:tabs>
        <w:ind w:left="5040" w:hanging="360"/>
      </w:pPr>
      <w:rPr>
        <w:rFonts w:ascii="Arial" w:hAnsi="Arial" w:hint="default"/>
      </w:rPr>
    </w:lvl>
    <w:lvl w:ilvl="7" w:tplc="948EB5FA" w:tentative="1">
      <w:start w:val="1"/>
      <w:numFmt w:val="bullet"/>
      <w:lvlText w:val="•"/>
      <w:lvlJc w:val="left"/>
      <w:pPr>
        <w:tabs>
          <w:tab w:val="num" w:pos="5760"/>
        </w:tabs>
        <w:ind w:left="5760" w:hanging="360"/>
      </w:pPr>
      <w:rPr>
        <w:rFonts w:ascii="Arial" w:hAnsi="Arial" w:hint="default"/>
      </w:rPr>
    </w:lvl>
    <w:lvl w:ilvl="8" w:tplc="ED649C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3A7D4B"/>
    <w:multiLevelType w:val="hybridMultilevel"/>
    <w:tmpl w:val="DA02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065D1"/>
    <w:multiLevelType w:val="hybridMultilevel"/>
    <w:tmpl w:val="9AEA6B98"/>
    <w:lvl w:ilvl="0" w:tplc="88E65A96">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4A1914"/>
    <w:multiLevelType w:val="hybridMultilevel"/>
    <w:tmpl w:val="ACA84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CD3DC8"/>
    <w:multiLevelType w:val="hybridMultilevel"/>
    <w:tmpl w:val="C9CE9FC6"/>
    <w:lvl w:ilvl="0" w:tplc="88E65A96">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2E3CB2"/>
    <w:multiLevelType w:val="hybridMultilevel"/>
    <w:tmpl w:val="F14A41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D965632"/>
    <w:multiLevelType w:val="hybridMultilevel"/>
    <w:tmpl w:val="114CCF4E"/>
    <w:lvl w:ilvl="0" w:tplc="9BC0BAF8">
      <w:start w:val="1"/>
      <w:numFmt w:val="bullet"/>
      <w:lvlText w:val="•"/>
      <w:lvlJc w:val="left"/>
      <w:pPr>
        <w:tabs>
          <w:tab w:val="num" w:pos="720"/>
        </w:tabs>
        <w:ind w:left="720" w:hanging="360"/>
      </w:pPr>
      <w:rPr>
        <w:rFonts w:ascii="Arial" w:hAnsi="Arial" w:hint="default"/>
      </w:rPr>
    </w:lvl>
    <w:lvl w:ilvl="1" w:tplc="3E0EEA18" w:tentative="1">
      <w:start w:val="1"/>
      <w:numFmt w:val="bullet"/>
      <w:lvlText w:val="•"/>
      <w:lvlJc w:val="left"/>
      <w:pPr>
        <w:tabs>
          <w:tab w:val="num" w:pos="1440"/>
        </w:tabs>
        <w:ind w:left="1440" w:hanging="360"/>
      </w:pPr>
      <w:rPr>
        <w:rFonts w:ascii="Arial" w:hAnsi="Arial" w:hint="default"/>
      </w:rPr>
    </w:lvl>
    <w:lvl w:ilvl="2" w:tplc="1BD8B318" w:tentative="1">
      <w:start w:val="1"/>
      <w:numFmt w:val="bullet"/>
      <w:lvlText w:val="•"/>
      <w:lvlJc w:val="left"/>
      <w:pPr>
        <w:tabs>
          <w:tab w:val="num" w:pos="2160"/>
        </w:tabs>
        <w:ind w:left="2160" w:hanging="360"/>
      </w:pPr>
      <w:rPr>
        <w:rFonts w:ascii="Arial" w:hAnsi="Arial" w:hint="default"/>
      </w:rPr>
    </w:lvl>
    <w:lvl w:ilvl="3" w:tplc="29889550" w:tentative="1">
      <w:start w:val="1"/>
      <w:numFmt w:val="bullet"/>
      <w:lvlText w:val="•"/>
      <w:lvlJc w:val="left"/>
      <w:pPr>
        <w:tabs>
          <w:tab w:val="num" w:pos="2880"/>
        </w:tabs>
        <w:ind w:left="2880" w:hanging="360"/>
      </w:pPr>
      <w:rPr>
        <w:rFonts w:ascii="Arial" w:hAnsi="Arial" w:hint="default"/>
      </w:rPr>
    </w:lvl>
    <w:lvl w:ilvl="4" w:tplc="AB9E4480" w:tentative="1">
      <w:start w:val="1"/>
      <w:numFmt w:val="bullet"/>
      <w:lvlText w:val="•"/>
      <w:lvlJc w:val="left"/>
      <w:pPr>
        <w:tabs>
          <w:tab w:val="num" w:pos="3600"/>
        </w:tabs>
        <w:ind w:left="3600" w:hanging="360"/>
      </w:pPr>
      <w:rPr>
        <w:rFonts w:ascii="Arial" w:hAnsi="Arial" w:hint="default"/>
      </w:rPr>
    </w:lvl>
    <w:lvl w:ilvl="5" w:tplc="758ACA02" w:tentative="1">
      <w:start w:val="1"/>
      <w:numFmt w:val="bullet"/>
      <w:lvlText w:val="•"/>
      <w:lvlJc w:val="left"/>
      <w:pPr>
        <w:tabs>
          <w:tab w:val="num" w:pos="4320"/>
        </w:tabs>
        <w:ind w:left="4320" w:hanging="360"/>
      </w:pPr>
      <w:rPr>
        <w:rFonts w:ascii="Arial" w:hAnsi="Arial" w:hint="default"/>
      </w:rPr>
    </w:lvl>
    <w:lvl w:ilvl="6" w:tplc="5A3E879E" w:tentative="1">
      <w:start w:val="1"/>
      <w:numFmt w:val="bullet"/>
      <w:lvlText w:val="•"/>
      <w:lvlJc w:val="left"/>
      <w:pPr>
        <w:tabs>
          <w:tab w:val="num" w:pos="5040"/>
        </w:tabs>
        <w:ind w:left="5040" w:hanging="360"/>
      </w:pPr>
      <w:rPr>
        <w:rFonts w:ascii="Arial" w:hAnsi="Arial" w:hint="default"/>
      </w:rPr>
    </w:lvl>
    <w:lvl w:ilvl="7" w:tplc="424A9D46" w:tentative="1">
      <w:start w:val="1"/>
      <w:numFmt w:val="bullet"/>
      <w:lvlText w:val="•"/>
      <w:lvlJc w:val="left"/>
      <w:pPr>
        <w:tabs>
          <w:tab w:val="num" w:pos="5760"/>
        </w:tabs>
        <w:ind w:left="5760" w:hanging="360"/>
      </w:pPr>
      <w:rPr>
        <w:rFonts w:ascii="Arial" w:hAnsi="Arial" w:hint="default"/>
      </w:rPr>
    </w:lvl>
    <w:lvl w:ilvl="8" w:tplc="2F5E91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EE177C"/>
    <w:multiLevelType w:val="hybridMultilevel"/>
    <w:tmpl w:val="CD8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C443A"/>
    <w:multiLevelType w:val="hybridMultilevel"/>
    <w:tmpl w:val="62248784"/>
    <w:lvl w:ilvl="0" w:tplc="88E65A96">
      <w:start w:val="1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3661A"/>
    <w:multiLevelType w:val="hybridMultilevel"/>
    <w:tmpl w:val="AF4A60EE"/>
    <w:lvl w:ilvl="0" w:tplc="88E65A96">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8FD5AEE"/>
    <w:multiLevelType w:val="hybridMultilevel"/>
    <w:tmpl w:val="6C6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325A"/>
    <w:multiLevelType w:val="hybridMultilevel"/>
    <w:tmpl w:val="B83A1D1C"/>
    <w:lvl w:ilvl="0" w:tplc="36CC9A76">
      <w:start w:val="1"/>
      <w:numFmt w:val="bullet"/>
      <w:lvlText w:val="•"/>
      <w:lvlJc w:val="left"/>
      <w:pPr>
        <w:tabs>
          <w:tab w:val="num" w:pos="720"/>
        </w:tabs>
        <w:ind w:left="720" w:hanging="360"/>
      </w:pPr>
      <w:rPr>
        <w:rFonts w:ascii="Arial" w:hAnsi="Arial" w:hint="default"/>
      </w:rPr>
    </w:lvl>
    <w:lvl w:ilvl="1" w:tplc="44AE1EEC" w:tentative="1">
      <w:start w:val="1"/>
      <w:numFmt w:val="bullet"/>
      <w:lvlText w:val="•"/>
      <w:lvlJc w:val="left"/>
      <w:pPr>
        <w:tabs>
          <w:tab w:val="num" w:pos="1440"/>
        </w:tabs>
        <w:ind w:left="1440" w:hanging="360"/>
      </w:pPr>
      <w:rPr>
        <w:rFonts w:ascii="Arial" w:hAnsi="Arial" w:hint="default"/>
      </w:rPr>
    </w:lvl>
    <w:lvl w:ilvl="2" w:tplc="CCA68080" w:tentative="1">
      <w:start w:val="1"/>
      <w:numFmt w:val="bullet"/>
      <w:lvlText w:val="•"/>
      <w:lvlJc w:val="left"/>
      <w:pPr>
        <w:tabs>
          <w:tab w:val="num" w:pos="2160"/>
        </w:tabs>
        <w:ind w:left="2160" w:hanging="360"/>
      </w:pPr>
      <w:rPr>
        <w:rFonts w:ascii="Arial" w:hAnsi="Arial" w:hint="default"/>
      </w:rPr>
    </w:lvl>
    <w:lvl w:ilvl="3" w:tplc="525CE3F4" w:tentative="1">
      <w:start w:val="1"/>
      <w:numFmt w:val="bullet"/>
      <w:lvlText w:val="•"/>
      <w:lvlJc w:val="left"/>
      <w:pPr>
        <w:tabs>
          <w:tab w:val="num" w:pos="2880"/>
        </w:tabs>
        <w:ind w:left="2880" w:hanging="360"/>
      </w:pPr>
      <w:rPr>
        <w:rFonts w:ascii="Arial" w:hAnsi="Arial" w:hint="default"/>
      </w:rPr>
    </w:lvl>
    <w:lvl w:ilvl="4" w:tplc="A7FE4BF0" w:tentative="1">
      <w:start w:val="1"/>
      <w:numFmt w:val="bullet"/>
      <w:lvlText w:val="•"/>
      <w:lvlJc w:val="left"/>
      <w:pPr>
        <w:tabs>
          <w:tab w:val="num" w:pos="3600"/>
        </w:tabs>
        <w:ind w:left="3600" w:hanging="360"/>
      </w:pPr>
      <w:rPr>
        <w:rFonts w:ascii="Arial" w:hAnsi="Arial" w:hint="default"/>
      </w:rPr>
    </w:lvl>
    <w:lvl w:ilvl="5" w:tplc="9F4A6E2C" w:tentative="1">
      <w:start w:val="1"/>
      <w:numFmt w:val="bullet"/>
      <w:lvlText w:val="•"/>
      <w:lvlJc w:val="left"/>
      <w:pPr>
        <w:tabs>
          <w:tab w:val="num" w:pos="4320"/>
        </w:tabs>
        <w:ind w:left="4320" w:hanging="360"/>
      </w:pPr>
      <w:rPr>
        <w:rFonts w:ascii="Arial" w:hAnsi="Arial" w:hint="default"/>
      </w:rPr>
    </w:lvl>
    <w:lvl w:ilvl="6" w:tplc="29786214" w:tentative="1">
      <w:start w:val="1"/>
      <w:numFmt w:val="bullet"/>
      <w:lvlText w:val="•"/>
      <w:lvlJc w:val="left"/>
      <w:pPr>
        <w:tabs>
          <w:tab w:val="num" w:pos="5040"/>
        </w:tabs>
        <w:ind w:left="5040" w:hanging="360"/>
      </w:pPr>
      <w:rPr>
        <w:rFonts w:ascii="Arial" w:hAnsi="Arial" w:hint="default"/>
      </w:rPr>
    </w:lvl>
    <w:lvl w:ilvl="7" w:tplc="F99ECE24" w:tentative="1">
      <w:start w:val="1"/>
      <w:numFmt w:val="bullet"/>
      <w:lvlText w:val="•"/>
      <w:lvlJc w:val="left"/>
      <w:pPr>
        <w:tabs>
          <w:tab w:val="num" w:pos="5760"/>
        </w:tabs>
        <w:ind w:left="5760" w:hanging="360"/>
      </w:pPr>
      <w:rPr>
        <w:rFonts w:ascii="Arial" w:hAnsi="Arial" w:hint="default"/>
      </w:rPr>
    </w:lvl>
    <w:lvl w:ilvl="8" w:tplc="DD405A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166330"/>
    <w:multiLevelType w:val="hybridMultilevel"/>
    <w:tmpl w:val="D3B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C2141"/>
    <w:multiLevelType w:val="hybridMultilevel"/>
    <w:tmpl w:val="E84898B4"/>
    <w:lvl w:ilvl="0" w:tplc="88E65A96">
      <w:start w:val="1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E78A7"/>
    <w:multiLevelType w:val="hybridMultilevel"/>
    <w:tmpl w:val="62D2A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18238C3"/>
    <w:multiLevelType w:val="hybridMultilevel"/>
    <w:tmpl w:val="8D04359E"/>
    <w:lvl w:ilvl="0" w:tplc="6142A058">
      <w:start w:val="1"/>
      <w:numFmt w:val="bullet"/>
      <w:lvlText w:val="•"/>
      <w:lvlJc w:val="left"/>
      <w:pPr>
        <w:tabs>
          <w:tab w:val="num" w:pos="720"/>
        </w:tabs>
        <w:ind w:left="720" w:hanging="360"/>
      </w:pPr>
      <w:rPr>
        <w:rFonts w:ascii="Arial" w:hAnsi="Arial" w:hint="default"/>
      </w:rPr>
    </w:lvl>
    <w:lvl w:ilvl="1" w:tplc="C174F9BC" w:tentative="1">
      <w:start w:val="1"/>
      <w:numFmt w:val="bullet"/>
      <w:lvlText w:val="•"/>
      <w:lvlJc w:val="left"/>
      <w:pPr>
        <w:tabs>
          <w:tab w:val="num" w:pos="1440"/>
        </w:tabs>
        <w:ind w:left="1440" w:hanging="360"/>
      </w:pPr>
      <w:rPr>
        <w:rFonts w:ascii="Arial" w:hAnsi="Arial" w:hint="default"/>
      </w:rPr>
    </w:lvl>
    <w:lvl w:ilvl="2" w:tplc="434E9478" w:tentative="1">
      <w:start w:val="1"/>
      <w:numFmt w:val="bullet"/>
      <w:lvlText w:val="•"/>
      <w:lvlJc w:val="left"/>
      <w:pPr>
        <w:tabs>
          <w:tab w:val="num" w:pos="2160"/>
        </w:tabs>
        <w:ind w:left="2160" w:hanging="360"/>
      </w:pPr>
      <w:rPr>
        <w:rFonts w:ascii="Arial" w:hAnsi="Arial" w:hint="default"/>
      </w:rPr>
    </w:lvl>
    <w:lvl w:ilvl="3" w:tplc="22660100" w:tentative="1">
      <w:start w:val="1"/>
      <w:numFmt w:val="bullet"/>
      <w:lvlText w:val="•"/>
      <w:lvlJc w:val="left"/>
      <w:pPr>
        <w:tabs>
          <w:tab w:val="num" w:pos="2880"/>
        </w:tabs>
        <w:ind w:left="2880" w:hanging="360"/>
      </w:pPr>
      <w:rPr>
        <w:rFonts w:ascii="Arial" w:hAnsi="Arial" w:hint="default"/>
      </w:rPr>
    </w:lvl>
    <w:lvl w:ilvl="4" w:tplc="C884F94C" w:tentative="1">
      <w:start w:val="1"/>
      <w:numFmt w:val="bullet"/>
      <w:lvlText w:val="•"/>
      <w:lvlJc w:val="left"/>
      <w:pPr>
        <w:tabs>
          <w:tab w:val="num" w:pos="3600"/>
        </w:tabs>
        <w:ind w:left="3600" w:hanging="360"/>
      </w:pPr>
      <w:rPr>
        <w:rFonts w:ascii="Arial" w:hAnsi="Arial" w:hint="default"/>
      </w:rPr>
    </w:lvl>
    <w:lvl w:ilvl="5" w:tplc="5A4C7050" w:tentative="1">
      <w:start w:val="1"/>
      <w:numFmt w:val="bullet"/>
      <w:lvlText w:val="•"/>
      <w:lvlJc w:val="left"/>
      <w:pPr>
        <w:tabs>
          <w:tab w:val="num" w:pos="4320"/>
        </w:tabs>
        <w:ind w:left="4320" w:hanging="360"/>
      </w:pPr>
      <w:rPr>
        <w:rFonts w:ascii="Arial" w:hAnsi="Arial" w:hint="default"/>
      </w:rPr>
    </w:lvl>
    <w:lvl w:ilvl="6" w:tplc="45BE1510" w:tentative="1">
      <w:start w:val="1"/>
      <w:numFmt w:val="bullet"/>
      <w:lvlText w:val="•"/>
      <w:lvlJc w:val="left"/>
      <w:pPr>
        <w:tabs>
          <w:tab w:val="num" w:pos="5040"/>
        </w:tabs>
        <w:ind w:left="5040" w:hanging="360"/>
      </w:pPr>
      <w:rPr>
        <w:rFonts w:ascii="Arial" w:hAnsi="Arial" w:hint="default"/>
      </w:rPr>
    </w:lvl>
    <w:lvl w:ilvl="7" w:tplc="7402FB64" w:tentative="1">
      <w:start w:val="1"/>
      <w:numFmt w:val="bullet"/>
      <w:lvlText w:val="•"/>
      <w:lvlJc w:val="left"/>
      <w:pPr>
        <w:tabs>
          <w:tab w:val="num" w:pos="5760"/>
        </w:tabs>
        <w:ind w:left="5760" w:hanging="360"/>
      </w:pPr>
      <w:rPr>
        <w:rFonts w:ascii="Arial" w:hAnsi="Arial" w:hint="default"/>
      </w:rPr>
    </w:lvl>
    <w:lvl w:ilvl="8" w:tplc="CA42F5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74047F"/>
    <w:multiLevelType w:val="hybridMultilevel"/>
    <w:tmpl w:val="94B6897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596125E5"/>
    <w:multiLevelType w:val="hybridMultilevel"/>
    <w:tmpl w:val="E32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74C5E"/>
    <w:multiLevelType w:val="hybridMultilevel"/>
    <w:tmpl w:val="624A27D2"/>
    <w:lvl w:ilvl="0" w:tplc="55003D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8701A7"/>
    <w:multiLevelType w:val="hybridMultilevel"/>
    <w:tmpl w:val="7CB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71CA4"/>
    <w:multiLevelType w:val="hybridMultilevel"/>
    <w:tmpl w:val="0C2E9C50"/>
    <w:lvl w:ilvl="0" w:tplc="299A74EA">
      <w:start w:val="1"/>
      <w:numFmt w:val="bullet"/>
      <w:lvlText w:val="•"/>
      <w:lvlJc w:val="left"/>
      <w:pPr>
        <w:tabs>
          <w:tab w:val="num" w:pos="720"/>
        </w:tabs>
        <w:ind w:left="720" w:hanging="360"/>
      </w:pPr>
      <w:rPr>
        <w:rFonts w:ascii="Arial" w:hAnsi="Arial" w:hint="default"/>
      </w:rPr>
    </w:lvl>
    <w:lvl w:ilvl="1" w:tplc="C2002978" w:tentative="1">
      <w:start w:val="1"/>
      <w:numFmt w:val="bullet"/>
      <w:lvlText w:val="•"/>
      <w:lvlJc w:val="left"/>
      <w:pPr>
        <w:tabs>
          <w:tab w:val="num" w:pos="1440"/>
        </w:tabs>
        <w:ind w:left="1440" w:hanging="360"/>
      </w:pPr>
      <w:rPr>
        <w:rFonts w:ascii="Arial" w:hAnsi="Arial" w:hint="default"/>
      </w:rPr>
    </w:lvl>
    <w:lvl w:ilvl="2" w:tplc="3C1C68BE" w:tentative="1">
      <w:start w:val="1"/>
      <w:numFmt w:val="bullet"/>
      <w:lvlText w:val="•"/>
      <w:lvlJc w:val="left"/>
      <w:pPr>
        <w:tabs>
          <w:tab w:val="num" w:pos="2160"/>
        </w:tabs>
        <w:ind w:left="2160" w:hanging="360"/>
      </w:pPr>
      <w:rPr>
        <w:rFonts w:ascii="Arial" w:hAnsi="Arial" w:hint="default"/>
      </w:rPr>
    </w:lvl>
    <w:lvl w:ilvl="3" w:tplc="9EB4DD70" w:tentative="1">
      <w:start w:val="1"/>
      <w:numFmt w:val="bullet"/>
      <w:lvlText w:val="•"/>
      <w:lvlJc w:val="left"/>
      <w:pPr>
        <w:tabs>
          <w:tab w:val="num" w:pos="2880"/>
        </w:tabs>
        <w:ind w:left="2880" w:hanging="360"/>
      </w:pPr>
      <w:rPr>
        <w:rFonts w:ascii="Arial" w:hAnsi="Arial" w:hint="default"/>
      </w:rPr>
    </w:lvl>
    <w:lvl w:ilvl="4" w:tplc="CC46514E" w:tentative="1">
      <w:start w:val="1"/>
      <w:numFmt w:val="bullet"/>
      <w:lvlText w:val="•"/>
      <w:lvlJc w:val="left"/>
      <w:pPr>
        <w:tabs>
          <w:tab w:val="num" w:pos="3600"/>
        </w:tabs>
        <w:ind w:left="3600" w:hanging="360"/>
      </w:pPr>
      <w:rPr>
        <w:rFonts w:ascii="Arial" w:hAnsi="Arial" w:hint="default"/>
      </w:rPr>
    </w:lvl>
    <w:lvl w:ilvl="5" w:tplc="8486B1E2" w:tentative="1">
      <w:start w:val="1"/>
      <w:numFmt w:val="bullet"/>
      <w:lvlText w:val="•"/>
      <w:lvlJc w:val="left"/>
      <w:pPr>
        <w:tabs>
          <w:tab w:val="num" w:pos="4320"/>
        </w:tabs>
        <w:ind w:left="4320" w:hanging="360"/>
      </w:pPr>
      <w:rPr>
        <w:rFonts w:ascii="Arial" w:hAnsi="Arial" w:hint="default"/>
      </w:rPr>
    </w:lvl>
    <w:lvl w:ilvl="6" w:tplc="986E5F8C" w:tentative="1">
      <w:start w:val="1"/>
      <w:numFmt w:val="bullet"/>
      <w:lvlText w:val="•"/>
      <w:lvlJc w:val="left"/>
      <w:pPr>
        <w:tabs>
          <w:tab w:val="num" w:pos="5040"/>
        </w:tabs>
        <w:ind w:left="5040" w:hanging="360"/>
      </w:pPr>
      <w:rPr>
        <w:rFonts w:ascii="Arial" w:hAnsi="Arial" w:hint="default"/>
      </w:rPr>
    </w:lvl>
    <w:lvl w:ilvl="7" w:tplc="F01AD134" w:tentative="1">
      <w:start w:val="1"/>
      <w:numFmt w:val="bullet"/>
      <w:lvlText w:val="•"/>
      <w:lvlJc w:val="left"/>
      <w:pPr>
        <w:tabs>
          <w:tab w:val="num" w:pos="5760"/>
        </w:tabs>
        <w:ind w:left="5760" w:hanging="360"/>
      </w:pPr>
      <w:rPr>
        <w:rFonts w:ascii="Arial" w:hAnsi="Arial" w:hint="default"/>
      </w:rPr>
    </w:lvl>
    <w:lvl w:ilvl="8" w:tplc="628A9DF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D16F86"/>
    <w:multiLevelType w:val="hybridMultilevel"/>
    <w:tmpl w:val="62D2A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28C6B0C"/>
    <w:multiLevelType w:val="hybridMultilevel"/>
    <w:tmpl w:val="D26868AE"/>
    <w:lvl w:ilvl="0" w:tplc="75D4B5E8">
      <w:start w:val="1"/>
      <w:numFmt w:val="bullet"/>
      <w:lvlText w:val="•"/>
      <w:lvlJc w:val="left"/>
      <w:pPr>
        <w:tabs>
          <w:tab w:val="num" w:pos="720"/>
        </w:tabs>
        <w:ind w:left="720" w:hanging="360"/>
      </w:pPr>
      <w:rPr>
        <w:rFonts w:ascii="Arial" w:hAnsi="Arial" w:hint="default"/>
      </w:rPr>
    </w:lvl>
    <w:lvl w:ilvl="1" w:tplc="F760B9B0" w:tentative="1">
      <w:start w:val="1"/>
      <w:numFmt w:val="bullet"/>
      <w:lvlText w:val="•"/>
      <w:lvlJc w:val="left"/>
      <w:pPr>
        <w:tabs>
          <w:tab w:val="num" w:pos="1440"/>
        </w:tabs>
        <w:ind w:left="1440" w:hanging="360"/>
      </w:pPr>
      <w:rPr>
        <w:rFonts w:ascii="Arial" w:hAnsi="Arial" w:hint="default"/>
      </w:rPr>
    </w:lvl>
    <w:lvl w:ilvl="2" w:tplc="2D5ED880" w:tentative="1">
      <w:start w:val="1"/>
      <w:numFmt w:val="bullet"/>
      <w:lvlText w:val="•"/>
      <w:lvlJc w:val="left"/>
      <w:pPr>
        <w:tabs>
          <w:tab w:val="num" w:pos="2160"/>
        </w:tabs>
        <w:ind w:left="2160" w:hanging="360"/>
      </w:pPr>
      <w:rPr>
        <w:rFonts w:ascii="Arial" w:hAnsi="Arial" w:hint="default"/>
      </w:rPr>
    </w:lvl>
    <w:lvl w:ilvl="3" w:tplc="5608CB98" w:tentative="1">
      <w:start w:val="1"/>
      <w:numFmt w:val="bullet"/>
      <w:lvlText w:val="•"/>
      <w:lvlJc w:val="left"/>
      <w:pPr>
        <w:tabs>
          <w:tab w:val="num" w:pos="2880"/>
        </w:tabs>
        <w:ind w:left="2880" w:hanging="360"/>
      </w:pPr>
      <w:rPr>
        <w:rFonts w:ascii="Arial" w:hAnsi="Arial" w:hint="default"/>
      </w:rPr>
    </w:lvl>
    <w:lvl w:ilvl="4" w:tplc="00F8AB90" w:tentative="1">
      <w:start w:val="1"/>
      <w:numFmt w:val="bullet"/>
      <w:lvlText w:val="•"/>
      <w:lvlJc w:val="left"/>
      <w:pPr>
        <w:tabs>
          <w:tab w:val="num" w:pos="3600"/>
        </w:tabs>
        <w:ind w:left="3600" w:hanging="360"/>
      </w:pPr>
      <w:rPr>
        <w:rFonts w:ascii="Arial" w:hAnsi="Arial" w:hint="default"/>
      </w:rPr>
    </w:lvl>
    <w:lvl w:ilvl="5" w:tplc="33F23B46" w:tentative="1">
      <w:start w:val="1"/>
      <w:numFmt w:val="bullet"/>
      <w:lvlText w:val="•"/>
      <w:lvlJc w:val="left"/>
      <w:pPr>
        <w:tabs>
          <w:tab w:val="num" w:pos="4320"/>
        </w:tabs>
        <w:ind w:left="4320" w:hanging="360"/>
      </w:pPr>
      <w:rPr>
        <w:rFonts w:ascii="Arial" w:hAnsi="Arial" w:hint="default"/>
      </w:rPr>
    </w:lvl>
    <w:lvl w:ilvl="6" w:tplc="471A4028" w:tentative="1">
      <w:start w:val="1"/>
      <w:numFmt w:val="bullet"/>
      <w:lvlText w:val="•"/>
      <w:lvlJc w:val="left"/>
      <w:pPr>
        <w:tabs>
          <w:tab w:val="num" w:pos="5040"/>
        </w:tabs>
        <w:ind w:left="5040" w:hanging="360"/>
      </w:pPr>
      <w:rPr>
        <w:rFonts w:ascii="Arial" w:hAnsi="Arial" w:hint="default"/>
      </w:rPr>
    </w:lvl>
    <w:lvl w:ilvl="7" w:tplc="98244800" w:tentative="1">
      <w:start w:val="1"/>
      <w:numFmt w:val="bullet"/>
      <w:lvlText w:val="•"/>
      <w:lvlJc w:val="left"/>
      <w:pPr>
        <w:tabs>
          <w:tab w:val="num" w:pos="5760"/>
        </w:tabs>
        <w:ind w:left="5760" w:hanging="360"/>
      </w:pPr>
      <w:rPr>
        <w:rFonts w:ascii="Arial" w:hAnsi="Arial" w:hint="default"/>
      </w:rPr>
    </w:lvl>
    <w:lvl w:ilvl="8" w:tplc="77E4DD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0219E6"/>
    <w:multiLevelType w:val="hybridMultilevel"/>
    <w:tmpl w:val="D1D2079A"/>
    <w:lvl w:ilvl="0" w:tplc="88E65A96">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312CFC"/>
    <w:multiLevelType w:val="hybridMultilevel"/>
    <w:tmpl w:val="0EB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E188C"/>
    <w:multiLevelType w:val="hybridMultilevel"/>
    <w:tmpl w:val="C1F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55AE9"/>
    <w:multiLevelType w:val="hybridMultilevel"/>
    <w:tmpl w:val="C6F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575E3"/>
    <w:multiLevelType w:val="hybridMultilevel"/>
    <w:tmpl w:val="A78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8"/>
  </w:num>
  <w:num w:numId="4">
    <w:abstractNumId w:val="26"/>
  </w:num>
  <w:num w:numId="5">
    <w:abstractNumId w:val="31"/>
  </w:num>
  <w:num w:numId="6">
    <w:abstractNumId w:val="40"/>
  </w:num>
  <w:num w:numId="7">
    <w:abstractNumId w:val="30"/>
  </w:num>
  <w:num w:numId="8">
    <w:abstractNumId w:val="25"/>
  </w:num>
  <w:num w:numId="9">
    <w:abstractNumId w:val="19"/>
  </w:num>
  <w:num w:numId="10">
    <w:abstractNumId w:val="5"/>
  </w:num>
  <w:num w:numId="11">
    <w:abstractNumId w:val="20"/>
  </w:num>
  <w:num w:numId="12">
    <w:abstractNumId w:val="9"/>
  </w:num>
  <w:num w:numId="13">
    <w:abstractNumId w:val="7"/>
  </w:num>
  <w:num w:numId="14">
    <w:abstractNumId w:val="17"/>
  </w:num>
  <w:num w:numId="15">
    <w:abstractNumId w:val="39"/>
  </w:num>
  <w:num w:numId="16">
    <w:abstractNumId w:val="2"/>
  </w:num>
  <w:num w:numId="17">
    <w:abstractNumId w:val="37"/>
  </w:num>
  <w:num w:numId="18">
    <w:abstractNumId w:val="32"/>
  </w:num>
  <w:num w:numId="19">
    <w:abstractNumId w:val="23"/>
  </w:num>
  <w:num w:numId="20">
    <w:abstractNumId w:val="3"/>
  </w:num>
  <w:num w:numId="21">
    <w:abstractNumId w:val="2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7"/>
  </w:num>
  <w:num w:numId="26">
    <w:abstractNumId w:val="8"/>
  </w:num>
  <w:num w:numId="27">
    <w:abstractNumId w:val="13"/>
  </w:num>
  <w:num w:numId="28">
    <w:abstractNumId w:val="34"/>
  </w:num>
  <w:num w:numId="29">
    <w:abstractNumId w:val="25"/>
  </w:num>
  <w:num w:numId="30">
    <w:abstractNumId w:val="21"/>
  </w:num>
  <w:num w:numId="31">
    <w:abstractNumId w:val="1"/>
  </w:num>
  <w:num w:numId="32">
    <w:abstractNumId w:val="15"/>
  </w:num>
  <w:num w:numId="33">
    <w:abstractNumId w:val="6"/>
  </w:num>
  <w:num w:numId="34">
    <w:abstractNumId w:val="43"/>
  </w:num>
  <w:num w:numId="35">
    <w:abstractNumId w:val="26"/>
  </w:num>
  <w:num w:numId="36">
    <w:abstractNumId w:val="11"/>
  </w:num>
  <w:num w:numId="37">
    <w:abstractNumId w:val="41"/>
  </w:num>
  <w:num w:numId="38">
    <w:abstractNumId w:val="29"/>
  </w:num>
  <w:num w:numId="39">
    <w:abstractNumId w:val="36"/>
  </w:num>
  <w:num w:numId="40">
    <w:abstractNumId w:val="42"/>
  </w:num>
  <w:num w:numId="41">
    <w:abstractNumId w:val="16"/>
  </w:num>
  <w:num w:numId="42">
    <w:abstractNumId w:val="4"/>
  </w:num>
  <w:num w:numId="43">
    <w:abstractNumId w:val="18"/>
  </w:num>
  <w:num w:numId="44">
    <w:abstractNumId w:val="44"/>
  </w:num>
  <w:num w:numId="45">
    <w:abstractNumId w:val="0"/>
  </w:num>
  <w:num w:numId="46">
    <w:abstractNumId w:val="12"/>
  </w:num>
  <w:num w:numId="47">
    <w:abstractNumId w:val="1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7F"/>
    <w:rsid w:val="00000991"/>
    <w:rsid w:val="000061A7"/>
    <w:rsid w:val="00023FB1"/>
    <w:rsid w:val="00034243"/>
    <w:rsid w:val="00042214"/>
    <w:rsid w:val="0004316D"/>
    <w:rsid w:val="0004609C"/>
    <w:rsid w:val="00047451"/>
    <w:rsid w:val="000542E1"/>
    <w:rsid w:val="00071EF2"/>
    <w:rsid w:val="00073EA2"/>
    <w:rsid w:val="00084174"/>
    <w:rsid w:val="00084BD8"/>
    <w:rsid w:val="000919B6"/>
    <w:rsid w:val="000B5777"/>
    <w:rsid w:val="000C0379"/>
    <w:rsid w:val="000C3A92"/>
    <w:rsid w:val="000D5CCA"/>
    <w:rsid w:val="000D6E20"/>
    <w:rsid w:val="000E50F5"/>
    <w:rsid w:val="000E5AE1"/>
    <w:rsid w:val="000F1D8B"/>
    <w:rsid w:val="00111684"/>
    <w:rsid w:val="001149C9"/>
    <w:rsid w:val="00114F4C"/>
    <w:rsid w:val="00121E29"/>
    <w:rsid w:val="00123135"/>
    <w:rsid w:val="00125CB3"/>
    <w:rsid w:val="00126420"/>
    <w:rsid w:val="001275B8"/>
    <w:rsid w:val="00140E77"/>
    <w:rsid w:val="00141333"/>
    <w:rsid w:val="00145799"/>
    <w:rsid w:val="00154DD8"/>
    <w:rsid w:val="00165570"/>
    <w:rsid w:val="001659B0"/>
    <w:rsid w:val="00166B4B"/>
    <w:rsid w:val="001671BA"/>
    <w:rsid w:val="00182C57"/>
    <w:rsid w:val="0018474F"/>
    <w:rsid w:val="00187584"/>
    <w:rsid w:val="00187D46"/>
    <w:rsid w:val="00193CC3"/>
    <w:rsid w:val="001A0D9A"/>
    <w:rsid w:val="001A2DB5"/>
    <w:rsid w:val="001A7AE3"/>
    <w:rsid w:val="001B1CBF"/>
    <w:rsid w:val="001B2223"/>
    <w:rsid w:val="001B602D"/>
    <w:rsid w:val="001C0A08"/>
    <w:rsid w:val="001C5C54"/>
    <w:rsid w:val="001C7A82"/>
    <w:rsid w:val="001D1052"/>
    <w:rsid w:val="001D1118"/>
    <w:rsid w:val="001D4154"/>
    <w:rsid w:val="001D5A0F"/>
    <w:rsid w:val="001E7062"/>
    <w:rsid w:val="001E70AE"/>
    <w:rsid w:val="001F0458"/>
    <w:rsid w:val="001F273B"/>
    <w:rsid w:val="001F4596"/>
    <w:rsid w:val="001F4E6E"/>
    <w:rsid w:val="001F7078"/>
    <w:rsid w:val="00200E7E"/>
    <w:rsid w:val="00205046"/>
    <w:rsid w:val="00207D46"/>
    <w:rsid w:val="00207DB0"/>
    <w:rsid w:val="00210731"/>
    <w:rsid w:val="002128A8"/>
    <w:rsid w:val="002200F3"/>
    <w:rsid w:val="002202B4"/>
    <w:rsid w:val="0022127D"/>
    <w:rsid w:val="002224C1"/>
    <w:rsid w:val="0023098D"/>
    <w:rsid w:val="0023534F"/>
    <w:rsid w:val="0023546D"/>
    <w:rsid w:val="00235DFB"/>
    <w:rsid w:val="00243B65"/>
    <w:rsid w:val="0024456D"/>
    <w:rsid w:val="00247125"/>
    <w:rsid w:val="00252803"/>
    <w:rsid w:val="00252EEC"/>
    <w:rsid w:val="0025450C"/>
    <w:rsid w:val="00255246"/>
    <w:rsid w:val="00265F6B"/>
    <w:rsid w:val="0027330B"/>
    <w:rsid w:val="00283AD8"/>
    <w:rsid w:val="00285761"/>
    <w:rsid w:val="00297194"/>
    <w:rsid w:val="002B5575"/>
    <w:rsid w:val="002B566F"/>
    <w:rsid w:val="002B74B4"/>
    <w:rsid w:val="002C2D0D"/>
    <w:rsid w:val="002C7678"/>
    <w:rsid w:val="002D1C5C"/>
    <w:rsid w:val="002E37F0"/>
    <w:rsid w:val="002E3F65"/>
    <w:rsid w:val="00300D01"/>
    <w:rsid w:val="00301262"/>
    <w:rsid w:val="00304731"/>
    <w:rsid w:val="00307CFE"/>
    <w:rsid w:val="00307E92"/>
    <w:rsid w:val="0031105C"/>
    <w:rsid w:val="00326544"/>
    <w:rsid w:val="00330C88"/>
    <w:rsid w:val="00330F4A"/>
    <w:rsid w:val="00331C90"/>
    <w:rsid w:val="00333BB9"/>
    <w:rsid w:val="00334931"/>
    <w:rsid w:val="00335346"/>
    <w:rsid w:val="00343BB4"/>
    <w:rsid w:val="00345F72"/>
    <w:rsid w:val="00347E6F"/>
    <w:rsid w:val="0037194D"/>
    <w:rsid w:val="00371E6E"/>
    <w:rsid w:val="00375C0D"/>
    <w:rsid w:val="00380CEA"/>
    <w:rsid w:val="00382956"/>
    <w:rsid w:val="00383705"/>
    <w:rsid w:val="0038375D"/>
    <w:rsid w:val="00387002"/>
    <w:rsid w:val="00387E49"/>
    <w:rsid w:val="003925CD"/>
    <w:rsid w:val="00394665"/>
    <w:rsid w:val="003952E6"/>
    <w:rsid w:val="003A2FDA"/>
    <w:rsid w:val="003A6F71"/>
    <w:rsid w:val="003A7B2A"/>
    <w:rsid w:val="003B23EE"/>
    <w:rsid w:val="003C5EAD"/>
    <w:rsid w:val="003C76A4"/>
    <w:rsid w:val="003E5463"/>
    <w:rsid w:val="003F2FDB"/>
    <w:rsid w:val="003F773E"/>
    <w:rsid w:val="00406729"/>
    <w:rsid w:val="0040673A"/>
    <w:rsid w:val="00406C92"/>
    <w:rsid w:val="004074BF"/>
    <w:rsid w:val="004100A7"/>
    <w:rsid w:val="0041264C"/>
    <w:rsid w:val="00412A84"/>
    <w:rsid w:val="004165DE"/>
    <w:rsid w:val="00416C4F"/>
    <w:rsid w:val="004243D8"/>
    <w:rsid w:val="004362CF"/>
    <w:rsid w:val="0044578A"/>
    <w:rsid w:val="004463F5"/>
    <w:rsid w:val="00446FE1"/>
    <w:rsid w:val="004513D1"/>
    <w:rsid w:val="004550BC"/>
    <w:rsid w:val="00457A9B"/>
    <w:rsid w:val="00470EEE"/>
    <w:rsid w:val="00473005"/>
    <w:rsid w:val="00473580"/>
    <w:rsid w:val="00473FF0"/>
    <w:rsid w:val="0048222F"/>
    <w:rsid w:val="00487FBA"/>
    <w:rsid w:val="00496367"/>
    <w:rsid w:val="004963E2"/>
    <w:rsid w:val="00496AD3"/>
    <w:rsid w:val="004A4B45"/>
    <w:rsid w:val="004A4BB4"/>
    <w:rsid w:val="004A66A5"/>
    <w:rsid w:val="004C12F5"/>
    <w:rsid w:val="004C5152"/>
    <w:rsid w:val="004D0C56"/>
    <w:rsid w:val="004E1C1E"/>
    <w:rsid w:val="004E4415"/>
    <w:rsid w:val="004F347F"/>
    <w:rsid w:val="00504E1F"/>
    <w:rsid w:val="00505873"/>
    <w:rsid w:val="00505EA0"/>
    <w:rsid w:val="00507B1F"/>
    <w:rsid w:val="00520DFA"/>
    <w:rsid w:val="005218CB"/>
    <w:rsid w:val="00524521"/>
    <w:rsid w:val="00526768"/>
    <w:rsid w:val="00531E80"/>
    <w:rsid w:val="0053644C"/>
    <w:rsid w:val="00536B7F"/>
    <w:rsid w:val="0054023A"/>
    <w:rsid w:val="005450B0"/>
    <w:rsid w:val="00557414"/>
    <w:rsid w:val="00557F9D"/>
    <w:rsid w:val="00562A64"/>
    <w:rsid w:val="00562B06"/>
    <w:rsid w:val="00563928"/>
    <w:rsid w:val="005657E6"/>
    <w:rsid w:val="00566775"/>
    <w:rsid w:val="00567184"/>
    <w:rsid w:val="00572FB5"/>
    <w:rsid w:val="0057664A"/>
    <w:rsid w:val="00580371"/>
    <w:rsid w:val="00581222"/>
    <w:rsid w:val="005835CA"/>
    <w:rsid w:val="00585637"/>
    <w:rsid w:val="005A57F6"/>
    <w:rsid w:val="005A714D"/>
    <w:rsid w:val="005B608E"/>
    <w:rsid w:val="005D443D"/>
    <w:rsid w:val="005D46DF"/>
    <w:rsid w:val="005D5A49"/>
    <w:rsid w:val="005D756F"/>
    <w:rsid w:val="005E1C83"/>
    <w:rsid w:val="005E1CA7"/>
    <w:rsid w:val="005E232D"/>
    <w:rsid w:val="005E49B2"/>
    <w:rsid w:val="005F4FDE"/>
    <w:rsid w:val="0060169F"/>
    <w:rsid w:val="006061BA"/>
    <w:rsid w:val="0060790B"/>
    <w:rsid w:val="006102EF"/>
    <w:rsid w:val="00612367"/>
    <w:rsid w:val="006130C4"/>
    <w:rsid w:val="00614476"/>
    <w:rsid w:val="006176AA"/>
    <w:rsid w:val="00623255"/>
    <w:rsid w:val="00624E5D"/>
    <w:rsid w:val="006308D7"/>
    <w:rsid w:val="00632451"/>
    <w:rsid w:val="006431A7"/>
    <w:rsid w:val="006445A9"/>
    <w:rsid w:val="006445CF"/>
    <w:rsid w:val="00644840"/>
    <w:rsid w:val="00645F24"/>
    <w:rsid w:val="00646A90"/>
    <w:rsid w:val="00655A0B"/>
    <w:rsid w:val="0065768B"/>
    <w:rsid w:val="00661D37"/>
    <w:rsid w:val="0066308A"/>
    <w:rsid w:val="00663231"/>
    <w:rsid w:val="00671DB4"/>
    <w:rsid w:val="0067263D"/>
    <w:rsid w:val="0067483D"/>
    <w:rsid w:val="006809FF"/>
    <w:rsid w:val="00685086"/>
    <w:rsid w:val="006872C6"/>
    <w:rsid w:val="00692D13"/>
    <w:rsid w:val="006969C7"/>
    <w:rsid w:val="006A62D4"/>
    <w:rsid w:val="006C6F52"/>
    <w:rsid w:val="006D5677"/>
    <w:rsid w:val="006F7470"/>
    <w:rsid w:val="0070187F"/>
    <w:rsid w:val="0070231D"/>
    <w:rsid w:val="00702569"/>
    <w:rsid w:val="007056E6"/>
    <w:rsid w:val="00706B21"/>
    <w:rsid w:val="0071040B"/>
    <w:rsid w:val="007121BB"/>
    <w:rsid w:val="007175DB"/>
    <w:rsid w:val="00722B4C"/>
    <w:rsid w:val="007339B7"/>
    <w:rsid w:val="00734340"/>
    <w:rsid w:val="00754750"/>
    <w:rsid w:val="00765A17"/>
    <w:rsid w:val="00771364"/>
    <w:rsid w:val="00780574"/>
    <w:rsid w:val="00780931"/>
    <w:rsid w:val="0078387F"/>
    <w:rsid w:val="007839B6"/>
    <w:rsid w:val="00783D36"/>
    <w:rsid w:val="00792C69"/>
    <w:rsid w:val="007954BB"/>
    <w:rsid w:val="00795B53"/>
    <w:rsid w:val="007A4401"/>
    <w:rsid w:val="007B63BB"/>
    <w:rsid w:val="007C191A"/>
    <w:rsid w:val="007C3459"/>
    <w:rsid w:val="007C741B"/>
    <w:rsid w:val="007D0468"/>
    <w:rsid w:val="007D507E"/>
    <w:rsid w:val="007D618C"/>
    <w:rsid w:val="007D61E7"/>
    <w:rsid w:val="007E36FA"/>
    <w:rsid w:val="007E4DE5"/>
    <w:rsid w:val="007F058C"/>
    <w:rsid w:val="00801B05"/>
    <w:rsid w:val="00804714"/>
    <w:rsid w:val="0082105D"/>
    <w:rsid w:val="008260B8"/>
    <w:rsid w:val="00826560"/>
    <w:rsid w:val="00827380"/>
    <w:rsid w:val="00833069"/>
    <w:rsid w:val="00835CCB"/>
    <w:rsid w:val="00840F64"/>
    <w:rsid w:val="00846585"/>
    <w:rsid w:val="00847AB7"/>
    <w:rsid w:val="00853931"/>
    <w:rsid w:val="008552D7"/>
    <w:rsid w:val="00855E87"/>
    <w:rsid w:val="00860A0F"/>
    <w:rsid w:val="00870B06"/>
    <w:rsid w:val="00880556"/>
    <w:rsid w:val="008A3DC3"/>
    <w:rsid w:val="008A65A0"/>
    <w:rsid w:val="008A6661"/>
    <w:rsid w:val="008B0D6D"/>
    <w:rsid w:val="008B5CC9"/>
    <w:rsid w:val="008B74A2"/>
    <w:rsid w:val="008C1F5A"/>
    <w:rsid w:val="008C25D4"/>
    <w:rsid w:val="008C2E9D"/>
    <w:rsid w:val="008C68EE"/>
    <w:rsid w:val="008D4C22"/>
    <w:rsid w:val="008D4C85"/>
    <w:rsid w:val="008D639C"/>
    <w:rsid w:val="008E18EB"/>
    <w:rsid w:val="008F2663"/>
    <w:rsid w:val="008F468F"/>
    <w:rsid w:val="00900490"/>
    <w:rsid w:val="00902B07"/>
    <w:rsid w:val="0090790D"/>
    <w:rsid w:val="00907FE3"/>
    <w:rsid w:val="009135D6"/>
    <w:rsid w:val="00916ACF"/>
    <w:rsid w:val="009232B7"/>
    <w:rsid w:val="0092700F"/>
    <w:rsid w:val="0093117B"/>
    <w:rsid w:val="0093242B"/>
    <w:rsid w:val="00934812"/>
    <w:rsid w:val="0094782C"/>
    <w:rsid w:val="0095410C"/>
    <w:rsid w:val="00954E1F"/>
    <w:rsid w:val="00955C5B"/>
    <w:rsid w:val="009613B8"/>
    <w:rsid w:val="00966B9D"/>
    <w:rsid w:val="00981525"/>
    <w:rsid w:val="00981E42"/>
    <w:rsid w:val="009A2FFD"/>
    <w:rsid w:val="009A3D9F"/>
    <w:rsid w:val="009B678C"/>
    <w:rsid w:val="009B6F0A"/>
    <w:rsid w:val="009C1939"/>
    <w:rsid w:val="009C1AFA"/>
    <w:rsid w:val="009C20AA"/>
    <w:rsid w:val="009C2A6B"/>
    <w:rsid w:val="009C2F46"/>
    <w:rsid w:val="009C32EE"/>
    <w:rsid w:val="009D7F30"/>
    <w:rsid w:val="009E160C"/>
    <w:rsid w:val="009E25FB"/>
    <w:rsid w:val="009E2643"/>
    <w:rsid w:val="009E488C"/>
    <w:rsid w:val="009E4F04"/>
    <w:rsid w:val="009E5634"/>
    <w:rsid w:val="00A11F11"/>
    <w:rsid w:val="00A13C23"/>
    <w:rsid w:val="00A175E5"/>
    <w:rsid w:val="00A2608D"/>
    <w:rsid w:val="00A32D94"/>
    <w:rsid w:val="00A33C3B"/>
    <w:rsid w:val="00A4195C"/>
    <w:rsid w:val="00A41D58"/>
    <w:rsid w:val="00A45465"/>
    <w:rsid w:val="00A56856"/>
    <w:rsid w:val="00A63BC0"/>
    <w:rsid w:val="00A650B3"/>
    <w:rsid w:val="00A72368"/>
    <w:rsid w:val="00A75477"/>
    <w:rsid w:val="00A75862"/>
    <w:rsid w:val="00A80CB1"/>
    <w:rsid w:val="00A84ECC"/>
    <w:rsid w:val="00A87374"/>
    <w:rsid w:val="00A91B7E"/>
    <w:rsid w:val="00A96273"/>
    <w:rsid w:val="00A96A53"/>
    <w:rsid w:val="00AA0B97"/>
    <w:rsid w:val="00AA4880"/>
    <w:rsid w:val="00AB6A80"/>
    <w:rsid w:val="00AB6F21"/>
    <w:rsid w:val="00AC60CE"/>
    <w:rsid w:val="00AD069C"/>
    <w:rsid w:val="00AF0115"/>
    <w:rsid w:val="00AF3D36"/>
    <w:rsid w:val="00AF640E"/>
    <w:rsid w:val="00B030D7"/>
    <w:rsid w:val="00B0442A"/>
    <w:rsid w:val="00B107DD"/>
    <w:rsid w:val="00B11422"/>
    <w:rsid w:val="00B12901"/>
    <w:rsid w:val="00B244E0"/>
    <w:rsid w:val="00B316DD"/>
    <w:rsid w:val="00B363E0"/>
    <w:rsid w:val="00B506E7"/>
    <w:rsid w:val="00B51A39"/>
    <w:rsid w:val="00B53151"/>
    <w:rsid w:val="00B54B0F"/>
    <w:rsid w:val="00B55681"/>
    <w:rsid w:val="00B63702"/>
    <w:rsid w:val="00B6675C"/>
    <w:rsid w:val="00B71E34"/>
    <w:rsid w:val="00B73690"/>
    <w:rsid w:val="00B80BEC"/>
    <w:rsid w:val="00B8122B"/>
    <w:rsid w:val="00B87FE0"/>
    <w:rsid w:val="00B90361"/>
    <w:rsid w:val="00B92648"/>
    <w:rsid w:val="00B937B1"/>
    <w:rsid w:val="00B93F82"/>
    <w:rsid w:val="00BA1E78"/>
    <w:rsid w:val="00BA5920"/>
    <w:rsid w:val="00BA732A"/>
    <w:rsid w:val="00BB1BD9"/>
    <w:rsid w:val="00BB4248"/>
    <w:rsid w:val="00BB718C"/>
    <w:rsid w:val="00BB7BF2"/>
    <w:rsid w:val="00BC3CB2"/>
    <w:rsid w:val="00BC4192"/>
    <w:rsid w:val="00BC73F7"/>
    <w:rsid w:val="00BC7B34"/>
    <w:rsid w:val="00BD58E2"/>
    <w:rsid w:val="00BD59C4"/>
    <w:rsid w:val="00BD6B30"/>
    <w:rsid w:val="00BD7238"/>
    <w:rsid w:val="00BE6DD3"/>
    <w:rsid w:val="00BF31FA"/>
    <w:rsid w:val="00C06ABF"/>
    <w:rsid w:val="00C12FF2"/>
    <w:rsid w:val="00C15D16"/>
    <w:rsid w:val="00C200B3"/>
    <w:rsid w:val="00C22A39"/>
    <w:rsid w:val="00C22B53"/>
    <w:rsid w:val="00C34071"/>
    <w:rsid w:val="00C40C9B"/>
    <w:rsid w:val="00C41E27"/>
    <w:rsid w:val="00C42582"/>
    <w:rsid w:val="00C4450E"/>
    <w:rsid w:val="00C46A5C"/>
    <w:rsid w:val="00C46AC6"/>
    <w:rsid w:val="00C479DB"/>
    <w:rsid w:val="00C6184E"/>
    <w:rsid w:val="00C65CD9"/>
    <w:rsid w:val="00C71186"/>
    <w:rsid w:val="00C7262E"/>
    <w:rsid w:val="00C74C17"/>
    <w:rsid w:val="00C75A9D"/>
    <w:rsid w:val="00C76EC8"/>
    <w:rsid w:val="00C80099"/>
    <w:rsid w:val="00C835DB"/>
    <w:rsid w:val="00C83E3D"/>
    <w:rsid w:val="00C8652F"/>
    <w:rsid w:val="00C866C0"/>
    <w:rsid w:val="00C92C12"/>
    <w:rsid w:val="00CA0180"/>
    <w:rsid w:val="00CA14CA"/>
    <w:rsid w:val="00CA2186"/>
    <w:rsid w:val="00CA2929"/>
    <w:rsid w:val="00CA352B"/>
    <w:rsid w:val="00CA3E23"/>
    <w:rsid w:val="00CB517D"/>
    <w:rsid w:val="00CC2BE5"/>
    <w:rsid w:val="00CC761C"/>
    <w:rsid w:val="00CC7ADF"/>
    <w:rsid w:val="00CE2215"/>
    <w:rsid w:val="00CE358D"/>
    <w:rsid w:val="00CE3A66"/>
    <w:rsid w:val="00CE4D63"/>
    <w:rsid w:val="00CE4F96"/>
    <w:rsid w:val="00CE512E"/>
    <w:rsid w:val="00D007C7"/>
    <w:rsid w:val="00D00857"/>
    <w:rsid w:val="00D00B3E"/>
    <w:rsid w:val="00D04D16"/>
    <w:rsid w:val="00D14935"/>
    <w:rsid w:val="00D227DC"/>
    <w:rsid w:val="00D25A86"/>
    <w:rsid w:val="00D278AD"/>
    <w:rsid w:val="00D31D86"/>
    <w:rsid w:val="00D33AF7"/>
    <w:rsid w:val="00D35BF1"/>
    <w:rsid w:val="00D7027E"/>
    <w:rsid w:val="00D73486"/>
    <w:rsid w:val="00D76F3B"/>
    <w:rsid w:val="00D80FF2"/>
    <w:rsid w:val="00D8615A"/>
    <w:rsid w:val="00D91D70"/>
    <w:rsid w:val="00D96829"/>
    <w:rsid w:val="00DA1FE5"/>
    <w:rsid w:val="00DA32AB"/>
    <w:rsid w:val="00DA3B11"/>
    <w:rsid w:val="00DA5C12"/>
    <w:rsid w:val="00DB4F97"/>
    <w:rsid w:val="00DB5373"/>
    <w:rsid w:val="00DC0CF2"/>
    <w:rsid w:val="00DC3364"/>
    <w:rsid w:val="00DE1E00"/>
    <w:rsid w:val="00DE702B"/>
    <w:rsid w:val="00DF434C"/>
    <w:rsid w:val="00DF75B8"/>
    <w:rsid w:val="00E00E0F"/>
    <w:rsid w:val="00E04EF6"/>
    <w:rsid w:val="00E1109B"/>
    <w:rsid w:val="00E11AB3"/>
    <w:rsid w:val="00E224DB"/>
    <w:rsid w:val="00E23F4B"/>
    <w:rsid w:val="00E31B68"/>
    <w:rsid w:val="00E32AE3"/>
    <w:rsid w:val="00E3395C"/>
    <w:rsid w:val="00E355D5"/>
    <w:rsid w:val="00E44836"/>
    <w:rsid w:val="00E50DF8"/>
    <w:rsid w:val="00E60B09"/>
    <w:rsid w:val="00E62384"/>
    <w:rsid w:val="00E63FC8"/>
    <w:rsid w:val="00E658AE"/>
    <w:rsid w:val="00E669F0"/>
    <w:rsid w:val="00E733D8"/>
    <w:rsid w:val="00E75806"/>
    <w:rsid w:val="00E80F78"/>
    <w:rsid w:val="00E8197C"/>
    <w:rsid w:val="00E845BE"/>
    <w:rsid w:val="00E904DD"/>
    <w:rsid w:val="00E9144A"/>
    <w:rsid w:val="00E96109"/>
    <w:rsid w:val="00EA322E"/>
    <w:rsid w:val="00EA3EE1"/>
    <w:rsid w:val="00EA612B"/>
    <w:rsid w:val="00EB0535"/>
    <w:rsid w:val="00EB0872"/>
    <w:rsid w:val="00EB5A3E"/>
    <w:rsid w:val="00EB6E5E"/>
    <w:rsid w:val="00EC22FD"/>
    <w:rsid w:val="00EC2ECC"/>
    <w:rsid w:val="00EE4DAB"/>
    <w:rsid w:val="00EE6DC3"/>
    <w:rsid w:val="00EF1881"/>
    <w:rsid w:val="00EF2AF0"/>
    <w:rsid w:val="00EF4376"/>
    <w:rsid w:val="00EF7176"/>
    <w:rsid w:val="00F01739"/>
    <w:rsid w:val="00F01E4C"/>
    <w:rsid w:val="00F05E00"/>
    <w:rsid w:val="00F103C0"/>
    <w:rsid w:val="00F10737"/>
    <w:rsid w:val="00F11AD4"/>
    <w:rsid w:val="00F221B9"/>
    <w:rsid w:val="00F33164"/>
    <w:rsid w:val="00F34A87"/>
    <w:rsid w:val="00F518D6"/>
    <w:rsid w:val="00F51F7D"/>
    <w:rsid w:val="00F52813"/>
    <w:rsid w:val="00F621F3"/>
    <w:rsid w:val="00F66962"/>
    <w:rsid w:val="00F74ACF"/>
    <w:rsid w:val="00F77440"/>
    <w:rsid w:val="00F83C69"/>
    <w:rsid w:val="00F85488"/>
    <w:rsid w:val="00F90366"/>
    <w:rsid w:val="00F91B2D"/>
    <w:rsid w:val="00F953B1"/>
    <w:rsid w:val="00FA0AAC"/>
    <w:rsid w:val="00FA2281"/>
    <w:rsid w:val="00FB4383"/>
    <w:rsid w:val="00FC0A0F"/>
    <w:rsid w:val="00FC0D5B"/>
    <w:rsid w:val="00FD719F"/>
    <w:rsid w:val="00FE201D"/>
    <w:rsid w:val="00FE2FB6"/>
    <w:rsid w:val="00FF4B39"/>
    <w:rsid w:val="00FF5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69A5"/>
  <w15:chartTrackingRefBased/>
  <w15:docId w15:val="{D390AFF1-AED2-48FA-8A6D-C0FA2959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che List Paragraph,Dot pt,No Spacing1,List Paragraph Char Char Char,Indicator Text,Numbered Para 1,Bullet 1,F5 List Paragraph,Bullet Points,List Paragraph11,MAIN CONTENT,List Paragraph12,Bullet2,Bullet21,Bullet22,bl11,Yellow Bullet"/>
    <w:basedOn w:val="Normal"/>
    <w:link w:val="ListParagraphChar"/>
    <w:uiPriority w:val="34"/>
    <w:qFormat/>
    <w:rsid w:val="00FA0AAC"/>
    <w:pPr>
      <w:ind w:left="720"/>
      <w:contextualSpacing/>
    </w:pPr>
  </w:style>
  <w:style w:type="paragraph" w:styleId="NormalWeb">
    <w:name w:val="Normal (Web)"/>
    <w:basedOn w:val="Normal"/>
    <w:uiPriority w:val="99"/>
    <w:unhideWhenUsed/>
    <w:rsid w:val="00F11A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Fiche List Paragraph Char,Dot pt Char,No Spacing1 Char,List Paragraph Char Char Char Char,Indicator Text Char,Numbered Para 1 Char,Bullet 1 Char,F5 List Paragraph Char,Bullet Points Char,List Paragraph11 Char,MAIN CONTENT Char"/>
    <w:link w:val="ListParagraph"/>
    <w:uiPriority w:val="34"/>
    <w:qFormat/>
    <w:locked/>
    <w:rsid w:val="00557F9D"/>
  </w:style>
  <w:style w:type="character" w:styleId="Strong">
    <w:name w:val="Strong"/>
    <w:basedOn w:val="DefaultParagraphFont"/>
    <w:uiPriority w:val="22"/>
    <w:qFormat/>
    <w:rsid w:val="0067263D"/>
    <w:rPr>
      <w:b/>
      <w:bCs/>
    </w:rPr>
  </w:style>
  <w:style w:type="paragraph" w:styleId="Header">
    <w:name w:val="header"/>
    <w:basedOn w:val="Normal"/>
    <w:link w:val="HeaderChar"/>
    <w:uiPriority w:val="99"/>
    <w:unhideWhenUsed/>
    <w:rsid w:val="0004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6D"/>
  </w:style>
  <w:style w:type="paragraph" w:styleId="Footer">
    <w:name w:val="footer"/>
    <w:basedOn w:val="Normal"/>
    <w:link w:val="FooterChar"/>
    <w:uiPriority w:val="99"/>
    <w:unhideWhenUsed/>
    <w:rsid w:val="0004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6D"/>
  </w:style>
  <w:style w:type="character" w:styleId="Hyperlink">
    <w:name w:val="Hyperlink"/>
    <w:basedOn w:val="DefaultParagraphFont"/>
    <w:uiPriority w:val="99"/>
    <w:unhideWhenUsed/>
    <w:rsid w:val="001C5C54"/>
    <w:rPr>
      <w:color w:val="0563C1" w:themeColor="hyperlink"/>
      <w:u w:val="single"/>
    </w:rPr>
  </w:style>
  <w:style w:type="character" w:customStyle="1" w:styleId="UnresolvedMention">
    <w:name w:val="Unresolved Mention"/>
    <w:basedOn w:val="DefaultParagraphFont"/>
    <w:uiPriority w:val="99"/>
    <w:semiHidden/>
    <w:unhideWhenUsed/>
    <w:rsid w:val="001C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858">
      <w:bodyDiv w:val="1"/>
      <w:marLeft w:val="0"/>
      <w:marRight w:val="0"/>
      <w:marTop w:val="0"/>
      <w:marBottom w:val="0"/>
      <w:divBdr>
        <w:top w:val="none" w:sz="0" w:space="0" w:color="auto"/>
        <w:left w:val="none" w:sz="0" w:space="0" w:color="auto"/>
        <w:bottom w:val="none" w:sz="0" w:space="0" w:color="auto"/>
        <w:right w:val="none" w:sz="0" w:space="0" w:color="auto"/>
      </w:divBdr>
      <w:divsChild>
        <w:div w:id="732584868">
          <w:marLeft w:val="446"/>
          <w:marRight w:val="0"/>
          <w:marTop w:val="180"/>
          <w:marBottom w:val="180"/>
          <w:divBdr>
            <w:top w:val="none" w:sz="0" w:space="0" w:color="auto"/>
            <w:left w:val="none" w:sz="0" w:space="0" w:color="auto"/>
            <w:bottom w:val="none" w:sz="0" w:space="0" w:color="auto"/>
            <w:right w:val="none" w:sz="0" w:space="0" w:color="auto"/>
          </w:divBdr>
        </w:div>
        <w:div w:id="1150638078">
          <w:marLeft w:val="446"/>
          <w:marRight w:val="0"/>
          <w:marTop w:val="180"/>
          <w:marBottom w:val="180"/>
          <w:divBdr>
            <w:top w:val="none" w:sz="0" w:space="0" w:color="auto"/>
            <w:left w:val="none" w:sz="0" w:space="0" w:color="auto"/>
            <w:bottom w:val="none" w:sz="0" w:space="0" w:color="auto"/>
            <w:right w:val="none" w:sz="0" w:space="0" w:color="auto"/>
          </w:divBdr>
        </w:div>
        <w:div w:id="1007709355">
          <w:marLeft w:val="446"/>
          <w:marRight w:val="0"/>
          <w:marTop w:val="180"/>
          <w:marBottom w:val="180"/>
          <w:divBdr>
            <w:top w:val="none" w:sz="0" w:space="0" w:color="auto"/>
            <w:left w:val="none" w:sz="0" w:space="0" w:color="auto"/>
            <w:bottom w:val="none" w:sz="0" w:space="0" w:color="auto"/>
            <w:right w:val="none" w:sz="0" w:space="0" w:color="auto"/>
          </w:divBdr>
        </w:div>
      </w:divsChild>
    </w:div>
    <w:div w:id="256914357">
      <w:bodyDiv w:val="1"/>
      <w:marLeft w:val="0"/>
      <w:marRight w:val="0"/>
      <w:marTop w:val="0"/>
      <w:marBottom w:val="0"/>
      <w:divBdr>
        <w:top w:val="none" w:sz="0" w:space="0" w:color="auto"/>
        <w:left w:val="none" w:sz="0" w:space="0" w:color="auto"/>
        <w:bottom w:val="none" w:sz="0" w:space="0" w:color="auto"/>
        <w:right w:val="none" w:sz="0" w:space="0" w:color="auto"/>
      </w:divBdr>
    </w:div>
    <w:div w:id="489640180">
      <w:bodyDiv w:val="1"/>
      <w:marLeft w:val="0"/>
      <w:marRight w:val="0"/>
      <w:marTop w:val="0"/>
      <w:marBottom w:val="0"/>
      <w:divBdr>
        <w:top w:val="none" w:sz="0" w:space="0" w:color="auto"/>
        <w:left w:val="none" w:sz="0" w:space="0" w:color="auto"/>
        <w:bottom w:val="none" w:sz="0" w:space="0" w:color="auto"/>
        <w:right w:val="none" w:sz="0" w:space="0" w:color="auto"/>
      </w:divBdr>
    </w:div>
    <w:div w:id="617689680">
      <w:bodyDiv w:val="1"/>
      <w:marLeft w:val="0"/>
      <w:marRight w:val="0"/>
      <w:marTop w:val="0"/>
      <w:marBottom w:val="0"/>
      <w:divBdr>
        <w:top w:val="none" w:sz="0" w:space="0" w:color="auto"/>
        <w:left w:val="none" w:sz="0" w:space="0" w:color="auto"/>
        <w:bottom w:val="none" w:sz="0" w:space="0" w:color="auto"/>
        <w:right w:val="none" w:sz="0" w:space="0" w:color="auto"/>
      </w:divBdr>
    </w:div>
    <w:div w:id="703943397">
      <w:bodyDiv w:val="1"/>
      <w:marLeft w:val="0"/>
      <w:marRight w:val="0"/>
      <w:marTop w:val="0"/>
      <w:marBottom w:val="0"/>
      <w:divBdr>
        <w:top w:val="none" w:sz="0" w:space="0" w:color="auto"/>
        <w:left w:val="none" w:sz="0" w:space="0" w:color="auto"/>
        <w:bottom w:val="none" w:sz="0" w:space="0" w:color="auto"/>
        <w:right w:val="none" w:sz="0" w:space="0" w:color="auto"/>
      </w:divBdr>
    </w:div>
    <w:div w:id="889996035">
      <w:bodyDiv w:val="1"/>
      <w:marLeft w:val="0"/>
      <w:marRight w:val="0"/>
      <w:marTop w:val="0"/>
      <w:marBottom w:val="0"/>
      <w:divBdr>
        <w:top w:val="none" w:sz="0" w:space="0" w:color="auto"/>
        <w:left w:val="none" w:sz="0" w:space="0" w:color="auto"/>
        <w:bottom w:val="none" w:sz="0" w:space="0" w:color="auto"/>
        <w:right w:val="none" w:sz="0" w:space="0" w:color="auto"/>
      </w:divBdr>
    </w:div>
    <w:div w:id="946429542">
      <w:bodyDiv w:val="1"/>
      <w:marLeft w:val="0"/>
      <w:marRight w:val="0"/>
      <w:marTop w:val="0"/>
      <w:marBottom w:val="0"/>
      <w:divBdr>
        <w:top w:val="none" w:sz="0" w:space="0" w:color="auto"/>
        <w:left w:val="none" w:sz="0" w:space="0" w:color="auto"/>
        <w:bottom w:val="none" w:sz="0" w:space="0" w:color="auto"/>
        <w:right w:val="none" w:sz="0" w:space="0" w:color="auto"/>
      </w:divBdr>
    </w:div>
    <w:div w:id="1109199258">
      <w:bodyDiv w:val="1"/>
      <w:marLeft w:val="0"/>
      <w:marRight w:val="0"/>
      <w:marTop w:val="0"/>
      <w:marBottom w:val="0"/>
      <w:divBdr>
        <w:top w:val="none" w:sz="0" w:space="0" w:color="auto"/>
        <w:left w:val="none" w:sz="0" w:space="0" w:color="auto"/>
        <w:bottom w:val="none" w:sz="0" w:space="0" w:color="auto"/>
        <w:right w:val="none" w:sz="0" w:space="0" w:color="auto"/>
      </w:divBdr>
    </w:div>
    <w:div w:id="1199734642">
      <w:bodyDiv w:val="1"/>
      <w:marLeft w:val="0"/>
      <w:marRight w:val="0"/>
      <w:marTop w:val="0"/>
      <w:marBottom w:val="0"/>
      <w:divBdr>
        <w:top w:val="none" w:sz="0" w:space="0" w:color="auto"/>
        <w:left w:val="none" w:sz="0" w:space="0" w:color="auto"/>
        <w:bottom w:val="none" w:sz="0" w:space="0" w:color="auto"/>
        <w:right w:val="none" w:sz="0" w:space="0" w:color="auto"/>
      </w:divBdr>
    </w:div>
    <w:div w:id="1218123458">
      <w:bodyDiv w:val="1"/>
      <w:marLeft w:val="0"/>
      <w:marRight w:val="0"/>
      <w:marTop w:val="0"/>
      <w:marBottom w:val="0"/>
      <w:divBdr>
        <w:top w:val="none" w:sz="0" w:space="0" w:color="auto"/>
        <w:left w:val="none" w:sz="0" w:space="0" w:color="auto"/>
        <w:bottom w:val="none" w:sz="0" w:space="0" w:color="auto"/>
        <w:right w:val="none" w:sz="0" w:space="0" w:color="auto"/>
      </w:divBdr>
    </w:div>
    <w:div w:id="1260023809">
      <w:bodyDiv w:val="1"/>
      <w:marLeft w:val="0"/>
      <w:marRight w:val="0"/>
      <w:marTop w:val="0"/>
      <w:marBottom w:val="0"/>
      <w:divBdr>
        <w:top w:val="none" w:sz="0" w:space="0" w:color="auto"/>
        <w:left w:val="none" w:sz="0" w:space="0" w:color="auto"/>
        <w:bottom w:val="none" w:sz="0" w:space="0" w:color="auto"/>
        <w:right w:val="none" w:sz="0" w:space="0" w:color="auto"/>
      </w:divBdr>
    </w:div>
    <w:div w:id="1419062074">
      <w:bodyDiv w:val="1"/>
      <w:marLeft w:val="0"/>
      <w:marRight w:val="0"/>
      <w:marTop w:val="0"/>
      <w:marBottom w:val="0"/>
      <w:divBdr>
        <w:top w:val="none" w:sz="0" w:space="0" w:color="auto"/>
        <w:left w:val="none" w:sz="0" w:space="0" w:color="auto"/>
        <w:bottom w:val="none" w:sz="0" w:space="0" w:color="auto"/>
        <w:right w:val="none" w:sz="0" w:space="0" w:color="auto"/>
      </w:divBdr>
    </w:div>
    <w:div w:id="1472551774">
      <w:bodyDiv w:val="1"/>
      <w:marLeft w:val="0"/>
      <w:marRight w:val="0"/>
      <w:marTop w:val="0"/>
      <w:marBottom w:val="0"/>
      <w:divBdr>
        <w:top w:val="none" w:sz="0" w:space="0" w:color="auto"/>
        <w:left w:val="none" w:sz="0" w:space="0" w:color="auto"/>
        <w:bottom w:val="none" w:sz="0" w:space="0" w:color="auto"/>
        <w:right w:val="none" w:sz="0" w:space="0" w:color="auto"/>
      </w:divBdr>
      <w:divsChild>
        <w:div w:id="283774905">
          <w:marLeft w:val="446"/>
          <w:marRight w:val="0"/>
          <w:marTop w:val="240"/>
          <w:marBottom w:val="240"/>
          <w:divBdr>
            <w:top w:val="none" w:sz="0" w:space="0" w:color="auto"/>
            <w:left w:val="none" w:sz="0" w:space="0" w:color="auto"/>
            <w:bottom w:val="none" w:sz="0" w:space="0" w:color="auto"/>
            <w:right w:val="none" w:sz="0" w:space="0" w:color="auto"/>
          </w:divBdr>
        </w:div>
        <w:div w:id="674651889">
          <w:marLeft w:val="446"/>
          <w:marRight w:val="0"/>
          <w:marTop w:val="240"/>
          <w:marBottom w:val="240"/>
          <w:divBdr>
            <w:top w:val="none" w:sz="0" w:space="0" w:color="auto"/>
            <w:left w:val="none" w:sz="0" w:space="0" w:color="auto"/>
            <w:bottom w:val="none" w:sz="0" w:space="0" w:color="auto"/>
            <w:right w:val="none" w:sz="0" w:space="0" w:color="auto"/>
          </w:divBdr>
        </w:div>
      </w:divsChild>
    </w:div>
    <w:div w:id="1676834660">
      <w:bodyDiv w:val="1"/>
      <w:marLeft w:val="0"/>
      <w:marRight w:val="0"/>
      <w:marTop w:val="0"/>
      <w:marBottom w:val="0"/>
      <w:divBdr>
        <w:top w:val="none" w:sz="0" w:space="0" w:color="auto"/>
        <w:left w:val="none" w:sz="0" w:space="0" w:color="auto"/>
        <w:bottom w:val="none" w:sz="0" w:space="0" w:color="auto"/>
        <w:right w:val="none" w:sz="0" w:space="0" w:color="auto"/>
      </w:divBdr>
      <w:divsChild>
        <w:div w:id="1096367163">
          <w:marLeft w:val="446"/>
          <w:marRight w:val="0"/>
          <w:marTop w:val="120"/>
          <w:marBottom w:val="120"/>
          <w:divBdr>
            <w:top w:val="none" w:sz="0" w:space="0" w:color="auto"/>
            <w:left w:val="none" w:sz="0" w:space="0" w:color="auto"/>
            <w:bottom w:val="none" w:sz="0" w:space="0" w:color="auto"/>
            <w:right w:val="none" w:sz="0" w:space="0" w:color="auto"/>
          </w:divBdr>
        </w:div>
        <w:div w:id="1199706890">
          <w:marLeft w:val="446"/>
          <w:marRight w:val="0"/>
          <w:marTop w:val="120"/>
          <w:marBottom w:val="120"/>
          <w:divBdr>
            <w:top w:val="none" w:sz="0" w:space="0" w:color="auto"/>
            <w:left w:val="none" w:sz="0" w:space="0" w:color="auto"/>
            <w:bottom w:val="none" w:sz="0" w:space="0" w:color="auto"/>
            <w:right w:val="none" w:sz="0" w:space="0" w:color="auto"/>
          </w:divBdr>
        </w:div>
      </w:divsChild>
    </w:div>
    <w:div w:id="1728216286">
      <w:bodyDiv w:val="1"/>
      <w:marLeft w:val="0"/>
      <w:marRight w:val="0"/>
      <w:marTop w:val="0"/>
      <w:marBottom w:val="0"/>
      <w:divBdr>
        <w:top w:val="none" w:sz="0" w:space="0" w:color="auto"/>
        <w:left w:val="none" w:sz="0" w:space="0" w:color="auto"/>
        <w:bottom w:val="none" w:sz="0" w:space="0" w:color="auto"/>
        <w:right w:val="none" w:sz="0" w:space="0" w:color="auto"/>
      </w:divBdr>
      <w:divsChild>
        <w:div w:id="1134324235">
          <w:marLeft w:val="446"/>
          <w:marRight w:val="0"/>
          <w:marTop w:val="240"/>
          <w:marBottom w:val="240"/>
          <w:divBdr>
            <w:top w:val="none" w:sz="0" w:space="0" w:color="auto"/>
            <w:left w:val="none" w:sz="0" w:space="0" w:color="auto"/>
            <w:bottom w:val="none" w:sz="0" w:space="0" w:color="auto"/>
            <w:right w:val="none" w:sz="0" w:space="0" w:color="auto"/>
          </w:divBdr>
        </w:div>
        <w:div w:id="60493764">
          <w:marLeft w:val="446"/>
          <w:marRight w:val="0"/>
          <w:marTop w:val="240"/>
          <w:marBottom w:val="240"/>
          <w:divBdr>
            <w:top w:val="none" w:sz="0" w:space="0" w:color="auto"/>
            <w:left w:val="none" w:sz="0" w:space="0" w:color="auto"/>
            <w:bottom w:val="none" w:sz="0" w:space="0" w:color="auto"/>
            <w:right w:val="none" w:sz="0" w:space="0" w:color="auto"/>
          </w:divBdr>
        </w:div>
      </w:divsChild>
    </w:div>
    <w:div w:id="1820656429">
      <w:bodyDiv w:val="1"/>
      <w:marLeft w:val="0"/>
      <w:marRight w:val="0"/>
      <w:marTop w:val="0"/>
      <w:marBottom w:val="0"/>
      <w:divBdr>
        <w:top w:val="none" w:sz="0" w:space="0" w:color="auto"/>
        <w:left w:val="none" w:sz="0" w:space="0" w:color="auto"/>
        <w:bottom w:val="none" w:sz="0" w:space="0" w:color="auto"/>
        <w:right w:val="none" w:sz="0" w:space="0" w:color="auto"/>
      </w:divBdr>
      <w:divsChild>
        <w:div w:id="1738824968">
          <w:marLeft w:val="446"/>
          <w:marRight w:val="0"/>
          <w:marTop w:val="240"/>
          <w:marBottom w:val="240"/>
          <w:divBdr>
            <w:top w:val="none" w:sz="0" w:space="0" w:color="auto"/>
            <w:left w:val="none" w:sz="0" w:space="0" w:color="auto"/>
            <w:bottom w:val="none" w:sz="0" w:space="0" w:color="auto"/>
            <w:right w:val="none" w:sz="0" w:space="0" w:color="auto"/>
          </w:divBdr>
        </w:div>
        <w:div w:id="595476117">
          <w:marLeft w:val="446"/>
          <w:marRight w:val="0"/>
          <w:marTop w:val="240"/>
          <w:marBottom w:val="240"/>
          <w:divBdr>
            <w:top w:val="none" w:sz="0" w:space="0" w:color="auto"/>
            <w:left w:val="none" w:sz="0" w:space="0" w:color="auto"/>
            <w:bottom w:val="none" w:sz="0" w:space="0" w:color="auto"/>
            <w:right w:val="none" w:sz="0" w:space="0" w:color="auto"/>
          </w:divBdr>
        </w:div>
      </w:divsChild>
    </w:div>
    <w:div w:id="1843543115">
      <w:bodyDiv w:val="1"/>
      <w:marLeft w:val="0"/>
      <w:marRight w:val="0"/>
      <w:marTop w:val="0"/>
      <w:marBottom w:val="0"/>
      <w:divBdr>
        <w:top w:val="none" w:sz="0" w:space="0" w:color="auto"/>
        <w:left w:val="none" w:sz="0" w:space="0" w:color="auto"/>
        <w:bottom w:val="none" w:sz="0" w:space="0" w:color="auto"/>
        <w:right w:val="none" w:sz="0" w:space="0" w:color="auto"/>
      </w:divBdr>
    </w:div>
    <w:div w:id="1860660960">
      <w:bodyDiv w:val="1"/>
      <w:marLeft w:val="0"/>
      <w:marRight w:val="0"/>
      <w:marTop w:val="0"/>
      <w:marBottom w:val="0"/>
      <w:divBdr>
        <w:top w:val="none" w:sz="0" w:space="0" w:color="auto"/>
        <w:left w:val="none" w:sz="0" w:space="0" w:color="auto"/>
        <w:bottom w:val="none" w:sz="0" w:space="0" w:color="auto"/>
        <w:right w:val="none" w:sz="0" w:space="0" w:color="auto"/>
      </w:divBdr>
    </w:div>
    <w:div w:id="1875459216">
      <w:bodyDiv w:val="1"/>
      <w:marLeft w:val="0"/>
      <w:marRight w:val="0"/>
      <w:marTop w:val="0"/>
      <w:marBottom w:val="0"/>
      <w:divBdr>
        <w:top w:val="none" w:sz="0" w:space="0" w:color="auto"/>
        <w:left w:val="none" w:sz="0" w:space="0" w:color="auto"/>
        <w:bottom w:val="none" w:sz="0" w:space="0" w:color="auto"/>
        <w:right w:val="none" w:sz="0" w:space="0" w:color="auto"/>
      </w:divBdr>
    </w:div>
    <w:div w:id="1900436713">
      <w:bodyDiv w:val="1"/>
      <w:marLeft w:val="0"/>
      <w:marRight w:val="0"/>
      <w:marTop w:val="0"/>
      <w:marBottom w:val="0"/>
      <w:divBdr>
        <w:top w:val="none" w:sz="0" w:space="0" w:color="auto"/>
        <w:left w:val="none" w:sz="0" w:space="0" w:color="auto"/>
        <w:bottom w:val="none" w:sz="0" w:space="0" w:color="auto"/>
        <w:right w:val="none" w:sz="0" w:space="0" w:color="auto"/>
      </w:divBdr>
      <w:divsChild>
        <w:div w:id="1841889664">
          <w:marLeft w:val="446"/>
          <w:marRight w:val="0"/>
          <w:marTop w:val="180"/>
          <w:marBottom w:val="180"/>
          <w:divBdr>
            <w:top w:val="none" w:sz="0" w:space="0" w:color="auto"/>
            <w:left w:val="none" w:sz="0" w:space="0" w:color="auto"/>
            <w:bottom w:val="none" w:sz="0" w:space="0" w:color="auto"/>
            <w:right w:val="none" w:sz="0" w:space="0" w:color="auto"/>
          </w:divBdr>
        </w:div>
        <w:div w:id="943459163">
          <w:marLeft w:val="446"/>
          <w:marRight w:val="0"/>
          <w:marTop w:val="180"/>
          <w:marBottom w:val="180"/>
          <w:divBdr>
            <w:top w:val="none" w:sz="0" w:space="0" w:color="auto"/>
            <w:left w:val="none" w:sz="0" w:space="0" w:color="auto"/>
            <w:bottom w:val="none" w:sz="0" w:space="0" w:color="auto"/>
            <w:right w:val="none" w:sz="0" w:space="0" w:color="auto"/>
          </w:divBdr>
        </w:div>
        <w:div w:id="73551680">
          <w:marLeft w:val="446"/>
          <w:marRight w:val="0"/>
          <w:marTop w:val="180"/>
          <w:marBottom w:val="180"/>
          <w:divBdr>
            <w:top w:val="none" w:sz="0" w:space="0" w:color="auto"/>
            <w:left w:val="none" w:sz="0" w:space="0" w:color="auto"/>
            <w:bottom w:val="none" w:sz="0" w:space="0" w:color="auto"/>
            <w:right w:val="none" w:sz="0" w:space="0" w:color="auto"/>
          </w:divBdr>
        </w:div>
      </w:divsChild>
    </w:div>
    <w:div w:id="2065907566">
      <w:bodyDiv w:val="1"/>
      <w:marLeft w:val="0"/>
      <w:marRight w:val="0"/>
      <w:marTop w:val="0"/>
      <w:marBottom w:val="0"/>
      <w:divBdr>
        <w:top w:val="none" w:sz="0" w:space="0" w:color="auto"/>
        <w:left w:val="none" w:sz="0" w:space="0" w:color="auto"/>
        <w:bottom w:val="none" w:sz="0" w:space="0" w:color="auto"/>
        <w:right w:val="none" w:sz="0" w:space="0" w:color="auto"/>
      </w:divBdr>
      <w:divsChild>
        <w:div w:id="1310943208">
          <w:marLeft w:val="446"/>
          <w:marRight w:val="0"/>
          <w:marTop w:val="180"/>
          <w:marBottom w:val="180"/>
          <w:divBdr>
            <w:top w:val="none" w:sz="0" w:space="0" w:color="auto"/>
            <w:left w:val="none" w:sz="0" w:space="0" w:color="auto"/>
            <w:bottom w:val="none" w:sz="0" w:space="0" w:color="auto"/>
            <w:right w:val="none" w:sz="0" w:space="0" w:color="auto"/>
          </w:divBdr>
        </w:div>
        <w:div w:id="180165157">
          <w:marLeft w:val="446"/>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e.gr/parakolouthisi-agor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E75D-C039-422E-9D2C-A9527560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6550</Words>
  <Characters>35371</Characters>
  <Application>Microsoft Office Word</Application>
  <DocSecurity>0</DocSecurity>
  <Lines>294</Lines>
  <Paragraphs>83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Κιούσης 1</dc:creator>
  <cp:keywords/>
  <dc:description/>
  <cp:lastModifiedBy>Pantelis Arsenis</cp:lastModifiedBy>
  <cp:revision>2</cp:revision>
  <cp:lastPrinted>2024-05-21T17:16:00Z</cp:lastPrinted>
  <dcterms:created xsi:type="dcterms:W3CDTF">2024-05-24T09:37:00Z</dcterms:created>
  <dcterms:modified xsi:type="dcterms:W3CDTF">2024-05-24T09:37:00Z</dcterms:modified>
</cp:coreProperties>
</file>